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44" w:before="144" w:line="240" w:lineRule="auto"/>
        <w:jc w:val="both"/>
        <w:rPr>
          <w:rFonts w:ascii="Times New Roman" w:cs="Times New Roman" w:eastAsia="Times New Roman" w:hAnsi="Times New Roman"/>
          <w:b w:val="1"/>
          <w:bCs w:val="1"/>
          <w:sz w:val="20"/>
          <w:szCs w:val="20"/>
        </w:rPr>
      </w:pPr>
      <w:bookmarkStart w:colFirst="0" w:colLast="0" w:name="_987zdwiuii5h" w:id="0"/>
      <w:bookmarkEnd w:id="0"/>
      <w:r w:rsidDel="00000000" w:rsidR="00000000" w:rsidRPr="00000000">
        <w:rPr>
          <w:rFonts w:ascii="Times New Roman" w:cs="Times New Roman" w:eastAsia="Times New Roman" w:hAnsi="Times New Roman"/>
          <w:b w:val="1"/>
          <w:bCs w:val="1"/>
          <w:sz w:val="20"/>
          <w:szCs w:val="20"/>
          <w:rtl w:val="0"/>
        </w:rPr>
        <w:t xml:space="preserve">Stan na dzień sporządzenia prospektu informacyjnego </w:t>
      </w:r>
    </w:p>
    <w:p w:rsidR="00000000" w:rsidDel="00000000" w:rsidP="00000000" w:rsidRDefault="00000000" w:rsidRPr="00000000" w14:paraId="00000002">
      <w:pPr>
        <w:widowControl w:val="0"/>
        <w:spacing w:after="0" w:line="360" w:lineRule="auto"/>
        <w:ind w:left="6379" w:firstLine="0"/>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Data </w:t>
      </w:r>
    </w:p>
    <w:p w:rsidR="00000000" w:rsidDel="00000000" w:rsidP="00000000" w:rsidRDefault="00000000" w:rsidRPr="00000000" w14:paraId="00000003">
      <w:pPr>
        <w:widowControl w:val="0"/>
        <w:spacing w:after="0" w:line="360" w:lineRule="auto"/>
        <w:ind w:left="6379" w:firstLine="0"/>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sporządzenia</w:t>
      </w:r>
    </w:p>
    <w:p w:rsidR="00000000" w:rsidDel="00000000" w:rsidP="00000000" w:rsidRDefault="00000000" w:rsidRPr="00000000" w14:paraId="00000004">
      <w:pPr>
        <w:widowControl w:val="0"/>
        <w:spacing w:after="0" w:line="360" w:lineRule="auto"/>
        <w:ind w:left="6379"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yellow"/>
          <w:rtl w:val="0"/>
        </w:rPr>
        <w:t xml:space="preserve">prospektu</w:t>
      </w:r>
      <w:r w:rsidDel="00000000" w:rsidR="00000000" w:rsidRPr="00000000">
        <w:rPr>
          <w:rtl w:val="0"/>
        </w:rPr>
      </w:r>
    </w:p>
    <w:p w:rsidR="00000000" w:rsidDel="00000000" w:rsidP="00000000" w:rsidRDefault="00000000" w:rsidRPr="00000000" w14:paraId="00000005">
      <w:pPr>
        <w:spacing w:after="60" w:before="60" w:line="240" w:lineRule="auto"/>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6">
      <w:pPr>
        <w:spacing w:after="144" w:before="144"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PROSPEKT INFORMACYJNY </w:t>
      </w:r>
    </w:p>
    <w:p w:rsidR="00000000" w:rsidDel="00000000" w:rsidP="00000000" w:rsidRDefault="00000000" w:rsidRPr="00000000" w14:paraId="00000007">
      <w:pPr>
        <w:spacing w:after="60" w:before="60" w:line="240" w:lineRule="auto"/>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8">
      <w:pPr>
        <w:spacing w:after="144" w:before="144"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CZĘŚĆ OGÓLNA</w:t>
      </w:r>
    </w:p>
    <w:p w:rsidR="00000000" w:rsidDel="00000000" w:rsidP="00000000" w:rsidRDefault="00000000" w:rsidRPr="00000000" w14:paraId="00000009">
      <w:pPr>
        <w:spacing w:after="0" w:line="240" w:lineRule="auto"/>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A">
      <w:pPr>
        <w:widowControl w:val="0"/>
        <w:numPr>
          <w:ilvl w:val="0"/>
          <w:numId w:val="1"/>
        </w:numPr>
        <w:spacing w:after="280" w:line="240" w:lineRule="auto"/>
        <w:ind w:left="1077" w:hanging="72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DANE IDENTYFIKACYJNE I KONTAKTOWE DOTYCZĄCE DEWELOPERA</w:t>
      </w:r>
    </w:p>
    <w:tbl>
      <w:tblPr>
        <w:tblStyle w:val="Table1"/>
        <w:tblpPr w:leftFromText="141" w:rightFromText="141" w:topFromText="0" w:bottomFromText="0" w:vertAnchor="text" w:horzAnchor="text" w:tblpX="0" w:tblpY="50"/>
        <w:tblW w:w="96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88"/>
        <w:gridCol w:w="3240"/>
        <w:gridCol w:w="3420"/>
        <w:tblGridChange w:id="0">
          <w:tblGrid>
            <w:gridCol w:w="2988"/>
            <w:gridCol w:w="3240"/>
            <w:gridCol w:w="3420"/>
          </w:tblGrid>
        </w:tblGridChange>
      </w:tblGrid>
      <w:tr>
        <w:trPr>
          <w:cantSplit w:val="0"/>
          <w:tblHeader w:val="0"/>
        </w:trPr>
        <w:tc>
          <w:tcPr>
            <w:gridSpan w:val="3"/>
            <w:tcBorders>
              <w:bottom w:color="000000" w:space="0" w:sz="4" w:val="single"/>
            </w:tcBorders>
            <w:shd w:fill="e0e0e0" w:val="clear"/>
          </w:tcPr>
          <w:p w:rsidR="00000000" w:rsidDel="00000000" w:rsidP="00000000" w:rsidRDefault="00000000" w:rsidRPr="00000000" w14:paraId="0000000B">
            <w:pPr>
              <w:spacing w:after="144" w:before="144"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DANE DEWELOPERA</w:t>
            </w:r>
          </w:p>
          <w:p w:rsidR="00000000" w:rsidDel="00000000" w:rsidP="00000000" w:rsidRDefault="00000000" w:rsidRPr="00000000" w14:paraId="0000000C">
            <w:pPr>
              <w:spacing w:after="144" w:before="144" w:line="240" w:lineRule="auto"/>
              <w:jc w:val="both"/>
              <w:rPr>
                <w:rFonts w:ascii="Times New Roman" w:cs="Times New Roman" w:eastAsia="Times New Roman" w:hAnsi="Times New Roman"/>
                <w:b w:val="1"/>
                <w:bCs w:val="1"/>
                <w:sz w:val="20"/>
                <w:szCs w:val="20"/>
              </w:rPr>
            </w:pPr>
            <w:r w:rsidDel="00000000" w:rsidR="00000000" w:rsidRPr="00000000">
              <w:rPr>
                <w:rtl w:val="0"/>
              </w:rPr>
            </w:r>
          </w:p>
        </w:tc>
      </w:tr>
      <w:tr>
        <w:trPr>
          <w:cantSplit w:val="0"/>
          <w:trHeight w:val="375" w:hRule="atLeast"/>
          <w:tblHeader w:val="0"/>
        </w:trPr>
        <w:tc>
          <w:tcPr>
            <w:shd w:fill="f3f3f3" w:val="clear"/>
          </w:tcPr>
          <w:p w:rsidR="00000000" w:rsidDel="00000000" w:rsidP="00000000" w:rsidRDefault="00000000" w:rsidRPr="00000000" w14:paraId="0000000F">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Deweloper</w:t>
            </w:r>
          </w:p>
        </w:tc>
        <w:tc>
          <w:tcPr>
            <w:gridSpan w:val="2"/>
          </w:tcPr>
          <w:p w:rsidR="00000000" w:rsidDel="00000000" w:rsidP="00000000" w:rsidRDefault="00000000" w:rsidRPr="00000000" w14:paraId="00000010">
            <w:pPr>
              <w:spacing w:after="144" w:before="144"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DA NOVA spółka z ograniczoną odpowiedzialnością</w:t>
            </w:r>
            <w:r w:rsidDel="00000000" w:rsidR="00000000" w:rsidRPr="00000000">
              <w:rPr>
                <w:rFonts w:ascii="Times New Roman" w:cs="Times New Roman" w:eastAsia="Times New Roman" w:hAnsi="Times New Roman"/>
                <w:sz w:val="20"/>
                <w:szCs w:val="20"/>
                <w:rtl w:val="0"/>
              </w:rPr>
              <w:t xml:space="preserve"> </w:t>
              <w:br w:type="textWrapping"/>
              <w:t xml:space="preserve">KRS: 0001172293</w:t>
            </w:r>
          </w:p>
          <w:p w:rsidR="00000000" w:rsidDel="00000000" w:rsidP="00000000" w:rsidRDefault="00000000" w:rsidRPr="00000000" w14:paraId="00000011">
            <w:pPr>
              <w:spacing w:after="144" w:before="144"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2">
            <w:pPr>
              <w:spacing w:after="144" w:before="144"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Dane identyfikacyjne (firma, forma prawna, numer Krajowego Rejestru Sądowego lub numer wpisu do Centralnej Ewidencji i Działalności Gospodarczej)</w:t>
            </w:r>
          </w:p>
        </w:tc>
      </w:tr>
      <w:tr>
        <w:trPr>
          <w:cantSplit w:val="0"/>
          <w:trHeight w:val="1327" w:hRule="atLeast"/>
          <w:tblHeader w:val="0"/>
        </w:trPr>
        <w:tc>
          <w:tcPr>
            <w:shd w:fill="f3f3f3" w:val="clear"/>
          </w:tcPr>
          <w:p w:rsidR="00000000" w:rsidDel="00000000" w:rsidP="00000000" w:rsidRDefault="00000000" w:rsidRPr="00000000" w14:paraId="00000014">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Adres </w:t>
            </w:r>
          </w:p>
        </w:tc>
        <w:tc>
          <w:tcPr>
            <w:gridSpan w:val="2"/>
          </w:tcPr>
          <w:p w:rsidR="00000000" w:rsidDel="00000000" w:rsidP="00000000" w:rsidRDefault="00000000" w:rsidRPr="00000000" w14:paraId="00000015">
            <w:pPr>
              <w:spacing w:after="144" w:before="144"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Siedziba: ul. Żbikowska 30, 05-800 Pruszków</w:t>
            </w:r>
          </w:p>
          <w:p w:rsidR="00000000" w:rsidDel="00000000" w:rsidP="00000000" w:rsidRDefault="00000000" w:rsidRPr="00000000" w14:paraId="00000016">
            <w:pPr>
              <w:spacing w:after="144" w:before="144"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7">
            <w:pPr>
              <w:spacing w:after="144" w:before="144"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(Adres miejsca wykonywania działalności gospodarczej, adres siedziby i adres punktów, w których jest przedstawiana oferta lokali mieszkalnych albo domów jednorodzinnych)</w:t>
            </w:r>
          </w:p>
        </w:tc>
      </w:tr>
      <w:tr>
        <w:trPr>
          <w:cantSplit w:val="0"/>
          <w:trHeight w:val="188" w:hRule="atLeast"/>
          <w:tblHeader w:val="0"/>
        </w:trPr>
        <w:tc>
          <w:tcPr>
            <w:shd w:fill="f3f3f3" w:val="clear"/>
          </w:tcPr>
          <w:p w:rsidR="00000000" w:rsidDel="00000000" w:rsidP="00000000" w:rsidRDefault="00000000" w:rsidRPr="00000000" w14:paraId="00000019">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Numer NIP i REGON</w:t>
            </w:r>
          </w:p>
        </w:tc>
        <w:tc>
          <w:tcPr/>
          <w:p w:rsidR="00000000" w:rsidDel="00000000" w:rsidP="00000000" w:rsidRDefault="00000000" w:rsidRPr="00000000" w14:paraId="0000001A">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NIP: 5342694617</w:t>
            </w:r>
          </w:p>
        </w:tc>
        <w:tc>
          <w:tcPr/>
          <w:p w:rsidR="00000000" w:rsidDel="00000000" w:rsidP="00000000" w:rsidRDefault="00000000" w:rsidRPr="00000000" w14:paraId="0000001B">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REGON: 541702772</w:t>
            </w:r>
          </w:p>
        </w:tc>
      </w:tr>
      <w:tr>
        <w:trPr>
          <w:cantSplit w:val="0"/>
          <w:tblHeader w:val="0"/>
        </w:trPr>
        <w:tc>
          <w:tcPr>
            <w:shd w:fill="f3f3f3" w:val="clear"/>
          </w:tcPr>
          <w:p w:rsidR="00000000" w:rsidDel="00000000" w:rsidP="00000000" w:rsidRDefault="00000000" w:rsidRPr="00000000" w14:paraId="0000001C">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Numer telefonu</w:t>
            </w:r>
          </w:p>
        </w:tc>
        <w:tc>
          <w:tcPr>
            <w:gridSpan w:val="2"/>
          </w:tcPr>
          <w:p w:rsidR="00000000" w:rsidDel="00000000" w:rsidP="00000000" w:rsidRDefault="00000000" w:rsidRPr="00000000" w14:paraId="0000001D">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+48 517 194 202</w:t>
            </w:r>
          </w:p>
        </w:tc>
      </w:tr>
      <w:tr>
        <w:trPr>
          <w:cantSplit w:val="0"/>
          <w:trHeight w:val="272" w:hRule="atLeast"/>
          <w:tblHeader w:val="0"/>
        </w:trPr>
        <w:tc>
          <w:tcPr>
            <w:shd w:fill="f3f3f3" w:val="clear"/>
          </w:tcPr>
          <w:p w:rsidR="00000000" w:rsidDel="00000000" w:rsidP="00000000" w:rsidRDefault="00000000" w:rsidRPr="00000000" w14:paraId="0000001F">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Adres poczty elektronicznej</w:t>
            </w:r>
          </w:p>
        </w:tc>
        <w:tc>
          <w:tcPr>
            <w:gridSpan w:val="2"/>
          </w:tcPr>
          <w:p w:rsidR="00000000" w:rsidDel="00000000" w:rsidP="00000000" w:rsidRDefault="00000000" w:rsidRPr="00000000" w14:paraId="00000020">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danova2025@gmail.com</w:t>
            </w:r>
          </w:p>
        </w:tc>
      </w:tr>
      <w:tr>
        <w:trPr>
          <w:cantSplit w:val="0"/>
          <w:tblHeader w:val="0"/>
        </w:trPr>
        <w:tc>
          <w:tcPr>
            <w:shd w:fill="f3f3f3" w:val="clear"/>
          </w:tcPr>
          <w:p w:rsidR="00000000" w:rsidDel="00000000" w:rsidP="00000000" w:rsidRDefault="00000000" w:rsidRPr="00000000" w14:paraId="00000022">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Numer faksu</w:t>
            </w:r>
          </w:p>
        </w:tc>
        <w:tc>
          <w:tcPr>
            <w:gridSpan w:val="2"/>
          </w:tcPr>
          <w:p w:rsidR="00000000" w:rsidDel="00000000" w:rsidP="00000000" w:rsidRDefault="00000000" w:rsidRPr="00000000" w14:paraId="00000023">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218" w:hRule="atLeast"/>
          <w:tblHeader w:val="0"/>
        </w:trPr>
        <w:tc>
          <w:tcPr>
            <w:shd w:fill="f3f3f3" w:val="clear"/>
          </w:tcPr>
          <w:p w:rsidR="00000000" w:rsidDel="00000000" w:rsidP="00000000" w:rsidRDefault="00000000" w:rsidRPr="00000000" w14:paraId="00000025">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Adres strony internetowej dewelopera</w:t>
            </w:r>
          </w:p>
        </w:tc>
        <w:tc>
          <w:tcPr>
            <w:gridSpan w:val="2"/>
          </w:tcPr>
          <w:p w:rsidR="00000000" w:rsidDel="00000000" w:rsidP="00000000" w:rsidRDefault="00000000" w:rsidRPr="00000000" w14:paraId="00000026">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www.danova.pl</w:t>
            </w:r>
          </w:p>
        </w:tc>
      </w:tr>
    </w:tbl>
    <w:p w:rsidR="00000000" w:rsidDel="00000000" w:rsidP="00000000" w:rsidRDefault="00000000" w:rsidRPr="00000000" w14:paraId="00000028">
      <w:pPr>
        <w:widowControl w:val="0"/>
        <w:numPr>
          <w:ilvl w:val="0"/>
          <w:numId w:val="1"/>
        </w:numPr>
        <w:spacing w:after="280" w:before="240" w:line="240" w:lineRule="auto"/>
        <w:ind w:left="1077" w:hanging="72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DOŚWIADCZENIE DEWELOPERA</w:t>
      </w:r>
    </w:p>
    <w:tbl>
      <w:tblPr>
        <w:tblStyle w:val="Table2"/>
        <w:tblpPr w:leftFromText="141" w:rightFromText="141" w:topFromText="0" w:bottomFromText="0" w:vertAnchor="text" w:horzAnchor="text" w:tblpX="0" w:tblpY="55"/>
        <w:tblW w:w="96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13"/>
        <w:gridCol w:w="6835"/>
        <w:tblGridChange w:id="0">
          <w:tblGrid>
            <w:gridCol w:w="2813"/>
            <w:gridCol w:w="6835"/>
          </w:tblGrid>
        </w:tblGridChange>
      </w:tblGrid>
      <w:tr>
        <w:trPr>
          <w:cantSplit w:val="0"/>
          <w:tblHeader w:val="0"/>
        </w:trPr>
        <w:tc>
          <w:tcPr>
            <w:gridSpan w:val="2"/>
            <w:tcBorders>
              <w:bottom w:color="000000" w:space="0" w:sz="4" w:val="single"/>
            </w:tcBorders>
            <w:shd w:fill="e0e0e0" w:val="clear"/>
          </w:tcPr>
          <w:p w:rsidR="00000000" w:rsidDel="00000000" w:rsidP="00000000" w:rsidRDefault="00000000" w:rsidRPr="00000000" w14:paraId="00000029">
            <w:pPr>
              <w:spacing w:after="144" w:before="144"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HISTORIA I UDOKUMENTOWANE DOŚWIADCZENIE DEWELOPERA</w:t>
            </w:r>
          </w:p>
        </w:tc>
      </w:tr>
      <w:tr>
        <w:trPr>
          <w:cantSplit w:val="0"/>
          <w:tblHeader w:val="0"/>
        </w:trPr>
        <w:tc>
          <w:tcPr>
            <w:gridSpan w:val="2"/>
            <w:tcBorders>
              <w:bottom w:color="000000" w:space="0" w:sz="4" w:val="single"/>
            </w:tcBorders>
            <w:shd w:fill="e0e0e0" w:val="clear"/>
          </w:tcPr>
          <w:p w:rsidR="00000000" w:rsidDel="00000000" w:rsidP="00000000" w:rsidRDefault="00000000" w:rsidRPr="00000000" w14:paraId="0000002B">
            <w:pPr>
              <w:spacing w:after="144" w:before="144"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PRZYKŁAD UKOŃCZONEGO PRZEDSIĘWZIĘCIA DEWELOPERSKIEGO (należy wskazać, o ile istnieją, trzy ukończone przedsięwzięcia deweloperskie, w tym ostatnie)</w:t>
            </w:r>
          </w:p>
        </w:tc>
      </w:tr>
      <w:tr>
        <w:trPr>
          <w:cantSplit w:val="0"/>
          <w:trHeight w:val="135" w:hRule="atLeast"/>
          <w:tblHeader w:val="0"/>
        </w:trPr>
        <w:tc>
          <w:tcPr>
            <w:shd w:fill="f3f3f3" w:val="clear"/>
          </w:tcPr>
          <w:p w:rsidR="00000000" w:rsidDel="00000000" w:rsidP="00000000" w:rsidRDefault="00000000" w:rsidRPr="00000000" w14:paraId="0000002D">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Adres </w:t>
            </w:r>
          </w:p>
        </w:tc>
        <w:tc>
          <w:tcPr/>
          <w:p w:rsidR="00000000" w:rsidDel="00000000" w:rsidP="00000000" w:rsidRDefault="00000000" w:rsidRPr="00000000" w14:paraId="0000002E">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Brak</w:t>
            </w:r>
          </w:p>
        </w:tc>
      </w:tr>
      <w:tr>
        <w:trPr>
          <w:cantSplit w:val="0"/>
          <w:tblHeader w:val="0"/>
        </w:trPr>
        <w:tc>
          <w:tcPr>
            <w:shd w:fill="f3f3f3" w:val="clear"/>
          </w:tcPr>
          <w:p w:rsidR="00000000" w:rsidDel="00000000" w:rsidP="00000000" w:rsidRDefault="00000000" w:rsidRPr="00000000" w14:paraId="0000002F">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Data rozpoczęcia </w:t>
            </w:r>
          </w:p>
        </w:tc>
        <w:tc>
          <w:tcPr/>
          <w:p w:rsidR="00000000" w:rsidDel="00000000" w:rsidP="00000000" w:rsidRDefault="00000000" w:rsidRPr="00000000" w14:paraId="00000030">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Brak</w:t>
            </w:r>
          </w:p>
        </w:tc>
      </w:tr>
      <w:tr>
        <w:trPr>
          <w:cantSplit w:val="0"/>
          <w:tblHeader w:val="0"/>
        </w:trPr>
        <w:tc>
          <w:tcPr>
            <w:shd w:fill="f3f3f3" w:val="clear"/>
          </w:tcPr>
          <w:p w:rsidR="00000000" w:rsidDel="00000000" w:rsidP="00000000" w:rsidRDefault="00000000" w:rsidRPr="00000000" w14:paraId="00000031">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Data wydania decyzji o pozwoleniu na użytkowanie</w:t>
            </w:r>
          </w:p>
        </w:tc>
        <w:tc>
          <w:tcPr/>
          <w:p w:rsidR="00000000" w:rsidDel="00000000" w:rsidP="00000000" w:rsidRDefault="00000000" w:rsidRPr="00000000" w14:paraId="00000032">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Brak</w:t>
            </w:r>
          </w:p>
        </w:tc>
      </w:tr>
      <w:tr>
        <w:trPr>
          <w:cantSplit w:val="0"/>
          <w:tblHeader w:val="0"/>
        </w:trPr>
        <w:tc>
          <w:tcPr>
            <w:gridSpan w:val="2"/>
            <w:tcBorders>
              <w:bottom w:color="000000" w:space="0" w:sz="4" w:val="single"/>
            </w:tcBorders>
            <w:shd w:fill="e0e0e0" w:val="clear"/>
          </w:tcPr>
          <w:p w:rsidR="00000000" w:rsidDel="00000000" w:rsidP="00000000" w:rsidRDefault="00000000" w:rsidRPr="00000000" w14:paraId="00000033">
            <w:pPr>
              <w:spacing w:after="144" w:before="144"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PRZYKŁAD INNEGO UKOŃCZONEGO PRZEDSIĘWZIĘCIA DEWELOPERSKIEGO</w:t>
            </w:r>
          </w:p>
          <w:p w:rsidR="00000000" w:rsidDel="00000000" w:rsidP="00000000" w:rsidRDefault="00000000" w:rsidRPr="00000000" w14:paraId="00000034">
            <w:pPr>
              <w:spacing w:after="144" w:before="144" w:line="240" w:lineRule="auto"/>
              <w:jc w:val="both"/>
              <w:rPr>
                <w:rFonts w:ascii="Times New Roman" w:cs="Times New Roman" w:eastAsia="Times New Roman" w:hAnsi="Times New Roman"/>
                <w:b w:val="1"/>
                <w:bCs w:val="1"/>
                <w:sz w:val="20"/>
                <w:szCs w:val="20"/>
              </w:rPr>
            </w:pPr>
            <w:r w:rsidDel="00000000" w:rsidR="00000000" w:rsidRPr="00000000">
              <w:rPr>
                <w:rtl w:val="0"/>
              </w:rPr>
            </w:r>
          </w:p>
        </w:tc>
      </w:tr>
      <w:tr>
        <w:trPr>
          <w:cantSplit w:val="0"/>
          <w:trHeight w:val="135" w:hRule="atLeast"/>
          <w:tblHeader w:val="0"/>
        </w:trPr>
        <w:tc>
          <w:tcPr>
            <w:shd w:fill="f3f3f3" w:val="clear"/>
          </w:tcPr>
          <w:p w:rsidR="00000000" w:rsidDel="00000000" w:rsidP="00000000" w:rsidRDefault="00000000" w:rsidRPr="00000000" w14:paraId="00000036">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Adres </w:t>
            </w:r>
          </w:p>
        </w:tc>
        <w:tc>
          <w:tcPr/>
          <w:p w:rsidR="00000000" w:rsidDel="00000000" w:rsidP="00000000" w:rsidRDefault="00000000" w:rsidRPr="00000000" w14:paraId="00000037">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Brak </w:t>
            </w:r>
          </w:p>
        </w:tc>
      </w:tr>
      <w:tr>
        <w:trPr>
          <w:cantSplit w:val="0"/>
          <w:tblHeader w:val="0"/>
        </w:trPr>
        <w:tc>
          <w:tcPr>
            <w:shd w:fill="f3f3f3" w:val="clear"/>
          </w:tcPr>
          <w:p w:rsidR="00000000" w:rsidDel="00000000" w:rsidP="00000000" w:rsidRDefault="00000000" w:rsidRPr="00000000" w14:paraId="00000038">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Data rozpoczęcia </w:t>
            </w:r>
          </w:p>
        </w:tc>
        <w:tc>
          <w:tcPr/>
          <w:p w:rsidR="00000000" w:rsidDel="00000000" w:rsidP="00000000" w:rsidRDefault="00000000" w:rsidRPr="00000000" w14:paraId="00000039">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Brak </w:t>
            </w:r>
          </w:p>
        </w:tc>
      </w:tr>
      <w:tr>
        <w:trPr>
          <w:cantSplit w:val="0"/>
          <w:tblHeader w:val="0"/>
        </w:trPr>
        <w:tc>
          <w:tcPr>
            <w:shd w:fill="f3f3f3" w:val="clear"/>
          </w:tcPr>
          <w:p w:rsidR="00000000" w:rsidDel="00000000" w:rsidP="00000000" w:rsidRDefault="00000000" w:rsidRPr="00000000" w14:paraId="0000003A">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Data wydania decyzji o pozwoleniu na użytkowanie</w:t>
            </w:r>
          </w:p>
        </w:tc>
        <w:tc>
          <w:tcPr/>
          <w:p w:rsidR="00000000" w:rsidDel="00000000" w:rsidP="00000000" w:rsidRDefault="00000000" w:rsidRPr="00000000" w14:paraId="0000003B">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Brak </w:t>
            </w:r>
          </w:p>
        </w:tc>
      </w:tr>
      <w:tr>
        <w:trPr>
          <w:cantSplit w:val="0"/>
          <w:tblHeader w:val="0"/>
        </w:trPr>
        <w:tc>
          <w:tcPr>
            <w:gridSpan w:val="2"/>
            <w:tcBorders>
              <w:bottom w:color="000000" w:space="0" w:sz="4" w:val="single"/>
            </w:tcBorders>
            <w:shd w:fill="e0e0e0" w:val="clear"/>
          </w:tcPr>
          <w:p w:rsidR="00000000" w:rsidDel="00000000" w:rsidP="00000000" w:rsidRDefault="00000000" w:rsidRPr="00000000" w14:paraId="0000003C">
            <w:pPr>
              <w:spacing w:after="280"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PRZYKŁAD OSTATNIEGO UKOŃCZONEGO PRZEDSIĘWZIĘCIA DEWELOPERSKIEGO</w:t>
            </w:r>
          </w:p>
          <w:p w:rsidR="00000000" w:rsidDel="00000000" w:rsidP="00000000" w:rsidRDefault="00000000" w:rsidRPr="00000000" w14:paraId="0000003D">
            <w:pPr>
              <w:spacing w:before="280" w:line="240" w:lineRule="auto"/>
              <w:jc w:val="both"/>
              <w:rPr>
                <w:rFonts w:ascii="Times New Roman" w:cs="Times New Roman" w:eastAsia="Times New Roman" w:hAnsi="Times New Roman"/>
                <w:b w:val="1"/>
                <w:bCs w:val="1"/>
                <w:sz w:val="20"/>
                <w:szCs w:val="20"/>
              </w:rPr>
            </w:pPr>
            <w:r w:rsidDel="00000000" w:rsidR="00000000" w:rsidRPr="00000000">
              <w:rPr>
                <w:rtl w:val="0"/>
              </w:rPr>
            </w:r>
          </w:p>
        </w:tc>
      </w:tr>
      <w:tr>
        <w:trPr>
          <w:cantSplit w:val="0"/>
          <w:trHeight w:val="135" w:hRule="atLeast"/>
          <w:tblHeader w:val="0"/>
        </w:trPr>
        <w:tc>
          <w:tcPr>
            <w:shd w:fill="f3f3f3" w:val="clear"/>
          </w:tcPr>
          <w:p w:rsidR="00000000" w:rsidDel="00000000" w:rsidP="00000000" w:rsidRDefault="00000000" w:rsidRPr="00000000" w14:paraId="0000003F">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Adres </w:t>
            </w:r>
          </w:p>
        </w:tc>
        <w:tc>
          <w:tcPr/>
          <w:p w:rsidR="00000000" w:rsidDel="00000000" w:rsidP="00000000" w:rsidRDefault="00000000" w:rsidRPr="00000000" w14:paraId="00000040">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Brak </w:t>
            </w:r>
          </w:p>
        </w:tc>
      </w:tr>
      <w:tr>
        <w:trPr>
          <w:cantSplit w:val="0"/>
          <w:tblHeader w:val="0"/>
        </w:trPr>
        <w:tc>
          <w:tcPr>
            <w:shd w:fill="f3f3f3" w:val="clear"/>
          </w:tcPr>
          <w:p w:rsidR="00000000" w:rsidDel="00000000" w:rsidP="00000000" w:rsidRDefault="00000000" w:rsidRPr="00000000" w14:paraId="00000041">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Data rozpoczęcia </w:t>
            </w:r>
          </w:p>
        </w:tc>
        <w:tc>
          <w:tcPr/>
          <w:p w:rsidR="00000000" w:rsidDel="00000000" w:rsidP="00000000" w:rsidRDefault="00000000" w:rsidRPr="00000000" w14:paraId="00000042">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Brak </w:t>
            </w:r>
          </w:p>
        </w:tc>
      </w:tr>
      <w:tr>
        <w:trPr>
          <w:cantSplit w:val="0"/>
          <w:tblHeader w:val="0"/>
        </w:trPr>
        <w:tc>
          <w:tcPr>
            <w:shd w:fill="f3f3f3" w:val="clear"/>
          </w:tcPr>
          <w:p w:rsidR="00000000" w:rsidDel="00000000" w:rsidP="00000000" w:rsidRDefault="00000000" w:rsidRPr="00000000" w14:paraId="00000043">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Data wydania decyzji o pozwoleniu na użytkowanie</w:t>
            </w:r>
          </w:p>
        </w:tc>
        <w:tc>
          <w:tcPr/>
          <w:p w:rsidR="00000000" w:rsidDel="00000000" w:rsidP="00000000" w:rsidRDefault="00000000" w:rsidRPr="00000000" w14:paraId="00000044">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Brak </w:t>
            </w:r>
          </w:p>
        </w:tc>
      </w:tr>
    </w:tbl>
    <w:p w:rsidR="00000000" w:rsidDel="00000000" w:rsidP="00000000" w:rsidRDefault="00000000" w:rsidRPr="00000000" w14:paraId="00000045">
      <w:pPr>
        <w:spacing w:after="144" w:before="144" w:line="240" w:lineRule="auto"/>
        <w:jc w:val="both"/>
        <w:rPr>
          <w:rFonts w:ascii="Times New Roman" w:cs="Times New Roman" w:eastAsia="Times New Roman" w:hAnsi="Times New Roman"/>
          <w:b w:val="1"/>
          <w:bCs w:val="1"/>
          <w:sz w:val="16"/>
          <w:szCs w:val="16"/>
        </w:rPr>
      </w:pPr>
      <w:r w:rsidDel="00000000" w:rsidR="00000000" w:rsidRPr="00000000">
        <w:rPr>
          <w:rtl w:val="0"/>
        </w:rPr>
      </w:r>
    </w:p>
    <w:tbl>
      <w:tblPr>
        <w:tblStyle w:val="Table3"/>
        <w:tblW w:w="96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8"/>
        <w:gridCol w:w="6840"/>
        <w:tblGridChange w:id="0">
          <w:tblGrid>
            <w:gridCol w:w="2808"/>
            <w:gridCol w:w="6840"/>
          </w:tblGrid>
        </w:tblGridChange>
      </w:tblGrid>
      <w:tr>
        <w:trPr>
          <w:cantSplit w:val="0"/>
          <w:tblHeader w:val="0"/>
        </w:trPr>
        <w:tc>
          <w:tcPr>
            <w:shd w:fill="f3f3f3" w:val="clear"/>
          </w:tcPr>
          <w:p w:rsidR="00000000" w:rsidDel="00000000" w:rsidP="00000000" w:rsidRDefault="00000000" w:rsidRPr="00000000" w14:paraId="00000046">
            <w:pPr>
              <w:spacing w:after="144" w:before="144"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Czy przeciwko deweloperowi prowadzono lub prowadzi się postępowania egzekucyjne na kwotę powyżej 100 000 zł</w:t>
            </w:r>
            <w:r w:rsidDel="00000000" w:rsidR="00000000" w:rsidRPr="00000000">
              <w:rPr>
                <w:rtl w:val="0"/>
              </w:rPr>
            </w:r>
          </w:p>
        </w:tc>
        <w:tc>
          <w:tcPr/>
          <w:p w:rsidR="00000000" w:rsidDel="00000000" w:rsidP="00000000" w:rsidRDefault="00000000" w:rsidRPr="00000000" w14:paraId="00000047">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w:t>
            </w:r>
          </w:p>
        </w:tc>
      </w:tr>
    </w:tbl>
    <w:p w:rsidR="00000000" w:rsidDel="00000000" w:rsidP="00000000" w:rsidRDefault="00000000" w:rsidRPr="00000000" w14:paraId="00000048">
      <w:pPr>
        <w:spacing w:after="0" w:before="144" w:line="240" w:lineRule="auto"/>
        <w:jc w:val="both"/>
        <w:rPr>
          <w:rFonts w:ascii="Times New Roman" w:cs="Times New Roman" w:eastAsia="Times New Roman" w:hAnsi="Times New Roman"/>
          <w:b w:val="1"/>
          <w:bCs w:val="1"/>
          <w:sz w:val="16"/>
          <w:szCs w:val="16"/>
        </w:rPr>
      </w:pPr>
      <w:r w:rsidDel="00000000" w:rsidR="00000000" w:rsidRPr="00000000">
        <w:rPr>
          <w:rtl w:val="0"/>
        </w:rPr>
      </w:r>
    </w:p>
    <w:p w:rsidR="00000000" w:rsidDel="00000000" w:rsidP="00000000" w:rsidRDefault="00000000" w:rsidRPr="00000000" w14:paraId="00000049">
      <w:pPr>
        <w:widowControl w:val="0"/>
        <w:numPr>
          <w:ilvl w:val="0"/>
          <w:numId w:val="5"/>
        </w:numPr>
        <w:spacing w:after="120" w:before="280" w:line="240" w:lineRule="auto"/>
        <w:ind w:left="1077" w:hanging="72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INFORMACJE DOTYCZĄCE NIERUCHOMOŚCI I PRZEDSIĘWZIĘCIA DEWELOPERSKIEGO</w:t>
      </w:r>
    </w:p>
    <w:tbl>
      <w:tblPr>
        <w:tblStyle w:val="Table4"/>
        <w:tblW w:w="96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10"/>
        <w:gridCol w:w="3419"/>
        <w:gridCol w:w="3419"/>
        <w:tblGridChange w:id="0">
          <w:tblGrid>
            <w:gridCol w:w="2810"/>
            <w:gridCol w:w="3419"/>
            <w:gridCol w:w="3419"/>
          </w:tblGrid>
        </w:tblGridChange>
      </w:tblGrid>
      <w:tr>
        <w:trPr>
          <w:cantSplit w:val="0"/>
          <w:tblHeader w:val="0"/>
        </w:trPr>
        <w:tc>
          <w:tcPr>
            <w:gridSpan w:val="3"/>
            <w:tcBorders>
              <w:bottom w:color="000000" w:space="0" w:sz="4" w:val="single"/>
            </w:tcBorders>
            <w:shd w:fill="e0e0e0" w:val="clear"/>
          </w:tcPr>
          <w:p w:rsidR="00000000" w:rsidDel="00000000" w:rsidP="00000000" w:rsidRDefault="00000000" w:rsidRPr="00000000" w14:paraId="0000004A">
            <w:pPr>
              <w:spacing w:after="144" w:before="144"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INFORMACJE DOTYCZĄCE GRUNTU I ZAGOSPODAROWANIA PRZESTRZENNEGO TERENU</w:t>
            </w:r>
          </w:p>
          <w:p w:rsidR="00000000" w:rsidDel="00000000" w:rsidP="00000000" w:rsidRDefault="00000000" w:rsidRPr="00000000" w14:paraId="0000004B">
            <w:pPr>
              <w:spacing w:after="144" w:before="144" w:line="240" w:lineRule="auto"/>
              <w:jc w:val="both"/>
              <w:rPr>
                <w:rFonts w:ascii="Times New Roman" w:cs="Times New Roman" w:eastAsia="Times New Roman" w:hAnsi="Times New Roman"/>
                <w:b w:val="1"/>
                <w:bCs w:val="1"/>
                <w:sz w:val="20"/>
                <w:szCs w:val="20"/>
              </w:rPr>
            </w:pPr>
            <w:r w:rsidDel="00000000" w:rsidR="00000000" w:rsidRPr="00000000">
              <w:rPr>
                <w:rtl w:val="0"/>
              </w:rPr>
            </w:r>
          </w:p>
        </w:tc>
      </w:tr>
      <w:tr>
        <w:trPr>
          <w:cantSplit w:val="0"/>
          <w:trHeight w:val="135" w:hRule="atLeast"/>
          <w:tblHeader w:val="0"/>
        </w:trPr>
        <w:tc>
          <w:tcPr>
            <w:shd w:fill="f3f3f3" w:val="clear"/>
          </w:tcPr>
          <w:p w:rsidR="00000000" w:rsidDel="00000000" w:rsidP="00000000" w:rsidRDefault="00000000" w:rsidRPr="00000000" w14:paraId="0000004E">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Adres i numer działki ewidencyjnej i obrębu</w:t>
            </w:r>
            <w:r w:rsidDel="00000000" w:rsidR="00000000" w:rsidRPr="00000000">
              <w:rPr>
                <w:rFonts w:ascii="Times New Roman" w:cs="Times New Roman" w:eastAsia="Times New Roman" w:hAnsi="Times New Roman"/>
                <w:sz w:val="20"/>
                <w:szCs w:val="20"/>
                <w:vertAlign w:val="superscript"/>
              </w:rPr>
              <w:footnoteReference w:customMarkFollows="0" w:id="0"/>
            </w:r>
            <w:r w:rsidDel="00000000" w:rsidR="00000000" w:rsidRPr="00000000">
              <w:rPr>
                <w:rtl w:val="0"/>
              </w:rPr>
            </w:r>
          </w:p>
        </w:tc>
        <w:tc>
          <w:tcPr>
            <w:gridSpan w:val="2"/>
          </w:tcPr>
          <w:p w:rsidR="00000000" w:rsidDel="00000000" w:rsidP="00000000" w:rsidRDefault="00000000" w:rsidRPr="00000000" w14:paraId="0000004F">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Przedsięwzięcie deweloperskie jest realizowane na działce ewidencyjnej o numerze 12/2, obręb 0004 Pruszków, położonej pod adresem: ul. Żbikowska 28, 05-800 Pruszków w dwóch etapach stanowiących dwa zadania inwestycyjne w rozumieniu art. 5 pkt 8) ustawy z dnia 20 maja 2021 r. o ochronie praw nabywcy lokalu mieszkalnego lub domu jednorodzinnego oraz Deweloperskim Funduszu Gwarancyjnym: </w:t>
            </w:r>
          </w:p>
          <w:p w:rsidR="00000000" w:rsidDel="00000000" w:rsidP="00000000" w:rsidRDefault="00000000" w:rsidRPr="00000000" w14:paraId="00000050">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zadanie inwestycyjne nr 1 polegające na budowie na działce ewidencyjnej o numerze 12/2, obręb 0004 Pruszków jednego budynku mieszkalnego jednorodzinnego dwulokalowego określonego jako budynek A, </w:t>
            </w:r>
          </w:p>
          <w:p w:rsidR="00000000" w:rsidDel="00000000" w:rsidP="00000000" w:rsidRDefault="00000000" w:rsidRPr="00000000" w14:paraId="00000051">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zadanie inwestycyjne nr 2 polegające na budowie na działce ewidencyjnej o numerze 12/2, obręb 0004 Pruszków dwóch budynków mieszkalnych jednorodzinnych dwulokalowych określonych jako budynek B oraz budynek C. </w:t>
            </w:r>
          </w:p>
          <w:p w:rsidR="00000000" w:rsidDel="00000000" w:rsidP="00000000" w:rsidRDefault="00000000" w:rsidRPr="00000000" w14:paraId="00000052">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Plan podziału przedsięwzięcia deweloperskiego na zadania inwestycyjne zgodnie z załącznikiem nr 5. </w:t>
            </w:r>
          </w:p>
        </w:tc>
      </w:tr>
      <w:tr>
        <w:trPr>
          <w:cantSplit w:val="0"/>
          <w:trHeight w:val="98" w:hRule="atLeast"/>
          <w:tblHeader w:val="0"/>
        </w:trPr>
        <w:tc>
          <w:tcPr>
            <w:shd w:fill="f3f3f3" w:val="clear"/>
          </w:tcPr>
          <w:p w:rsidR="00000000" w:rsidDel="00000000" w:rsidP="00000000" w:rsidRDefault="00000000" w:rsidRPr="00000000" w14:paraId="00000054">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Numer księgi wieczystej </w:t>
            </w:r>
          </w:p>
        </w:tc>
        <w:tc>
          <w:tcPr>
            <w:gridSpan w:val="2"/>
          </w:tcPr>
          <w:p w:rsidR="00000000" w:rsidDel="00000000" w:rsidP="00000000" w:rsidRDefault="00000000" w:rsidRPr="00000000" w14:paraId="00000055">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WA1P/00089556/6</w:t>
            </w:r>
          </w:p>
        </w:tc>
      </w:tr>
      <w:tr>
        <w:trPr>
          <w:cantSplit w:val="0"/>
          <w:trHeight w:val="98" w:hRule="atLeast"/>
          <w:tblHeader w:val="0"/>
        </w:trPr>
        <w:tc>
          <w:tcPr>
            <w:shd w:fill="f3f3f3" w:val="clear"/>
          </w:tcPr>
          <w:p w:rsidR="00000000" w:rsidDel="00000000" w:rsidP="00000000" w:rsidRDefault="00000000" w:rsidRPr="00000000" w14:paraId="00000057">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Istniejące obciążenia hipoteczne nieruchomości lub wnioski o wpis w dziale czwartym księgi wieczystej</w:t>
            </w:r>
          </w:p>
        </w:tc>
        <w:tc>
          <w:tcPr>
            <w:gridSpan w:val="2"/>
          </w:tcPr>
          <w:p w:rsidR="00000000" w:rsidDel="00000000" w:rsidP="00000000" w:rsidRDefault="00000000" w:rsidRPr="00000000" w14:paraId="00000058">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Brak </w:t>
            </w:r>
          </w:p>
        </w:tc>
      </w:tr>
      <w:tr>
        <w:trPr>
          <w:cantSplit w:val="0"/>
          <w:trHeight w:val="97" w:hRule="atLeast"/>
          <w:tblHeader w:val="0"/>
        </w:trPr>
        <w:tc>
          <w:tcPr>
            <w:shd w:fill="f3f3f3" w:val="clear"/>
          </w:tcPr>
          <w:p w:rsidR="00000000" w:rsidDel="00000000" w:rsidP="00000000" w:rsidRDefault="00000000" w:rsidRPr="00000000" w14:paraId="0000005A">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 przypadku braku księgi wieczystej informacja o powierzchni działki i stanie prawnym nieruchomości</w:t>
            </w:r>
            <w:r w:rsidDel="00000000" w:rsidR="00000000" w:rsidRPr="00000000">
              <w:rPr>
                <w:rFonts w:ascii="Times New Roman" w:cs="Times New Roman" w:eastAsia="Times New Roman" w:hAnsi="Times New Roman"/>
                <w:sz w:val="20"/>
                <w:szCs w:val="20"/>
                <w:vertAlign w:val="superscript"/>
              </w:rPr>
              <w:footnoteReference w:customMarkFollows="0" w:id="1"/>
            </w:r>
            <w:r w:rsidDel="00000000" w:rsidR="00000000" w:rsidRPr="00000000">
              <w:rPr>
                <w:rFonts w:ascii="Times New Roman" w:cs="Times New Roman" w:eastAsia="Times New Roman" w:hAnsi="Times New Roman"/>
                <w:sz w:val="20"/>
                <w:szCs w:val="20"/>
                <w:vertAlign w:val="superscript"/>
                <w:rtl w:val="0"/>
              </w:rPr>
              <w:t xml:space="preserve">)</w:t>
            </w:r>
            <w:r w:rsidDel="00000000" w:rsidR="00000000" w:rsidRPr="00000000">
              <w:rPr>
                <w:rFonts w:ascii="Times New Roman" w:cs="Times New Roman" w:eastAsia="Times New Roman" w:hAnsi="Times New Roman"/>
                <w:sz w:val="20"/>
                <w:szCs w:val="20"/>
                <w:rtl w:val="0"/>
              </w:rPr>
              <w:t xml:space="preserve"> </w:t>
            </w:r>
          </w:p>
        </w:tc>
        <w:tc>
          <w:tcPr>
            <w:gridSpan w:val="2"/>
          </w:tcPr>
          <w:p w:rsidR="00000000" w:rsidDel="00000000" w:rsidP="00000000" w:rsidRDefault="00000000" w:rsidRPr="00000000" w14:paraId="0000005B">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 dotyczy </w:t>
            </w:r>
          </w:p>
        </w:tc>
      </w:tr>
      <w:tr>
        <w:trPr>
          <w:cantSplit w:val="0"/>
          <w:trHeight w:val="97" w:hRule="atLeast"/>
          <w:tblHeader w:val="0"/>
        </w:trPr>
        <w:tc>
          <w:tcPr>
            <w:shd w:fill="f3f3f3" w:val="clear"/>
          </w:tcPr>
          <w:p w:rsidR="00000000" w:rsidDel="00000000" w:rsidP="00000000" w:rsidRDefault="00000000" w:rsidRPr="00000000" w14:paraId="0000005D">
            <w:pPr>
              <w:spacing w:after="144" w:before="144"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Informacje dotyczące obiektów istniejących położonych w sąsiedztwie inwestycji i wpływających na warunki życia</w:t>
            </w:r>
            <w:r w:rsidDel="00000000" w:rsidR="00000000" w:rsidRPr="00000000">
              <w:rPr>
                <w:rFonts w:ascii="Times New Roman" w:cs="Times New Roman" w:eastAsia="Times New Roman" w:hAnsi="Times New Roman"/>
                <w:sz w:val="20"/>
                <w:szCs w:val="20"/>
                <w:vertAlign w:val="superscript"/>
              </w:rPr>
              <w:footnoteReference w:customMarkFollows="0" w:id="2"/>
            </w:r>
            <w:r w:rsidDel="00000000" w:rsidR="00000000" w:rsidRPr="00000000">
              <w:rPr>
                <w:rFonts w:ascii="Times New Roman" w:cs="Times New Roman" w:eastAsia="Times New Roman" w:hAnsi="Times New Roman"/>
                <w:sz w:val="20"/>
                <w:szCs w:val="20"/>
                <w:vertAlign w:val="superscript"/>
                <w:rtl w:val="0"/>
              </w:rPr>
              <w:t xml:space="preserve">)</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E">
            <w:pPr>
              <w:spacing w:after="144" w:before="144" w:line="240" w:lineRule="auto"/>
              <w:jc w:val="both"/>
              <w:rPr>
                <w:rFonts w:ascii="Times New Roman" w:cs="Times New Roman" w:eastAsia="Times New Roman" w:hAnsi="Times New Roman"/>
                <w:sz w:val="20"/>
                <w:szCs w:val="20"/>
              </w:rPr>
            </w:pPr>
            <w:r w:rsidDel="00000000" w:rsidR="00000000" w:rsidRPr="00000000">
              <w:rPr>
                <w:rtl w:val="0"/>
              </w:rPr>
            </w:r>
          </w:p>
        </w:tc>
        <w:tc>
          <w:tcPr>
            <w:gridSpan w:val="2"/>
          </w:tcPr>
          <w:p w:rsidR="00000000" w:rsidDel="00000000" w:rsidP="00000000" w:rsidRDefault="00000000" w:rsidRPr="00000000" w14:paraId="0000005F">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 niedalekim sąsiedztwie działki przebiega autostrada A2, która stanowi główne źródło hałasu oraz zanieczyszczenia świetlnego w okolicy. Według raportów oddziaływania na środowisko (bip.um.pruszkow.pl, siskom.waw.pl), strefa wpływu hałasu w rejonie węzła „Pruszków” sięga nawet 650 metrów od krawędzi jezdni w godzinach nocnych (izofona 50 dB). Działka przy ul. Żbikowskiej 28 znajduje się w granicach tej strefy lub bezpośrednio przy niej, co oznacza możliwość występowania podwyższonego poziomu hałasu, zwłaszcza nocą. Dodatkowo, autostrada jest wyposażona w intensywne oświetlenie drogowe, sygnalizację świetlną na wiaduktach, a także możliwe lampy monitorujące i systemy CCTV, które powodują rozjaśnienie nocnego nieba. W najbliższym otoczeniu mogą występować również lokalne źródła światła, takie jak sklepy, parkingi czy oświetlenie uliczne, które dodatkowo zwiększają poziom nocnego zanieczyszczenia świetlnego.</w:t>
            </w:r>
          </w:p>
        </w:tc>
      </w:tr>
      <w:tr>
        <w:trPr>
          <w:cantSplit w:val="0"/>
          <w:trHeight w:val="763" w:hRule="atLeast"/>
          <w:tblHeader w:val="0"/>
        </w:trPr>
        <w:tc>
          <w:tcPr>
            <w:vMerge w:val="restart"/>
            <w:shd w:fill="f3f3f3" w:val="clear"/>
          </w:tcPr>
          <w:p w:rsidR="00000000" w:rsidDel="00000000" w:rsidP="00000000" w:rsidRDefault="00000000" w:rsidRPr="00000000" w14:paraId="00000061">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Akty planowania przestrzennego i inne akty prawne na podstawie przepisów odrębnych na terenie objętym przedsięwzięciem deweloperskim lub zadaniem inwestycyjnym</w:t>
            </w:r>
          </w:p>
          <w:p w:rsidR="00000000" w:rsidDel="00000000" w:rsidP="00000000" w:rsidRDefault="00000000" w:rsidRPr="00000000" w14:paraId="00000062">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p w:rsidR="00000000" w:rsidDel="00000000" w:rsidP="00000000" w:rsidRDefault="00000000" w:rsidRPr="00000000" w14:paraId="00000063">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Plan ogólny gminy</w:t>
            </w:r>
          </w:p>
        </w:tc>
        <w:tc>
          <w:tcPr>
            <w:tcBorders>
              <w:bottom w:color="000000" w:space="0" w:sz="4" w:val="single"/>
            </w:tcBorders>
          </w:tcPr>
          <w:p w:rsidR="00000000" w:rsidDel="00000000" w:rsidP="00000000" w:rsidRDefault="00000000" w:rsidRPr="00000000" w14:paraId="00000064">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Gmina nie posiada uchwalonego Planu Ogólnego</w:t>
            </w:r>
          </w:p>
        </w:tc>
      </w:tr>
      <w:tr>
        <w:trPr>
          <w:cantSplit w:val="0"/>
          <w:trHeight w:val="2300" w:hRule="atLeast"/>
          <w:tblHeader w:val="0"/>
        </w:trPr>
        <w:tc>
          <w:tcPr>
            <w:vMerge w:val="continue"/>
            <w:shd w:fill="f3f3f3" w:val="clea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66">
            <w:pPr>
              <w:spacing w:after="144" w:before="144"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Miejscowy plan zagospodarowania przestrzennego</w:t>
            </w:r>
          </w:p>
          <w:p w:rsidR="00000000" w:rsidDel="00000000" w:rsidP="00000000" w:rsidRDefault="00000000" w:rsidRPr="00000000" w14:paraId="00000067">
            <w:pPr>
              <w:spacing w:after="144" w:before="144"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8">
            <w:pPr>
              <w:spacing w:after="144" w:before="144"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9">
            <w:pPr>
              <w:spacing w:after="144" w:before="144"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A">
            <w:pPr>
              <w:spacing w:after="144" w:before="144"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B">
            <w:pPr>
              <w:spacing w:after="144" w:before="144"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6C">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Miejscowy plan zagospodarowania przestrzennego:</w:t>
            </w:r>
          </w:p>
          <w:p w:rsidR="00000000" w:rsidDel="00000000" w:rsidP="00000000" w:rsidRDefault="00000000" w:rsidRPr="00000000" w14:paraId="0000006D">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Uchwała Nr XXXVIII/365/2009 Rady Miejskiej w Pruszkowie z dnia 29 października 2009 r.</w:t>
            </w:r>
          </w:p>
          <w:p w:rsidR="00000000" w:rsidDel="00000000" w:rsidP="00000000" w:rsidRDefault="00000000" w:rsidRPr="00000000" w14:paraId="0000006E">
            <w:pPr>
              <w:spacing w:after="144" w:before="144" w:line="240" w:lineRule="auto"/>
              <w:jc w:val="both"/>
              <w:rPr>
                <w:rFonts w:ascii="Times New Roman" w:cs="Times New Roman" w:eastAsia="Times New Roman" w:hAnsi="Times New Roman"/>
                <w:sz w:val="20"/>
                <w:szCs w:val="20"/>
              </w:rPr>
            </w:pPr>
            <w:hyperlink r:id="rId7">
              <w:r w:rsidDel="00000000" w:rsidR="00000000" w:rsidRPr="00000000">
                <w:rPr>
                  <w:rFonts w:ascii="Times New Roman" w:cs="Times New Roman" w:eastAsia="Times New Roman" w:hAnsi="Times New Roman"/>
                  <w:color w:val="0563c1"/>
                  <w:sz w:val="20"/>
                  <w:szCs w:val="20"/>
                  <w:u w:val="single"/>
                  <w:rtl w:val="0"/>
                </w:rPr>
                <w:t xml:space="preserve">https://bip.um.pruszkow.pl/artykul/336/959/-obowiazujace</w:t>
              </w:r>
            </w:hyperlink>
            <w:r w:rsidDel="00000000" w:rsidR="00000000" w:rsidRPr="00000000">
              <w:rPr>
                <w:rFonts w:ascii="Times New Roman" w:cs="Times New Roman" w:eastAsia="Times New Roman" w:hAnsi="Times New Roman"/>
                <w:sz w:val="20"/>
                <w:szCs w:val="20"/>
                <w:rtl w:val="0"/>
              </w:rPr>
              <w:t xml:space="preserve"> </w:t>
            </w:r>
          </w:p>
        </w:tc>
      </w:tr>
      <w:tr>
        <w:trPr>
          <w:cantSplit w:val="0"/>
          <w:trHeight w:val="264" w:hRule="atLeast"/>
          <w:tblHeader w:val="0"/>
        </w:trPr>
        <w:tc>
          <w:tcPr>
            <w:vMerge w:val="continue"/>
            <w:shd w:fill="f3f3f3" w:val="clea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restart"/>
          </w:tcPr>
          <w:p w:rsidR="00000000" w:rsidDel="00000000" w:rsidP="00000000" w:rsidRDefault="00000000" w:rsidRPr="00000000" w14:paraId="00000070">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Miejscowy plan odbudowy </w:t>
            </w:r>
          </w:p>
        </w:tc>
        <w:tc>
          <w:tcPr>
            <w:tcBorders>
              <w:top w:color="000000" w:space="0" w:sz="4" w:val="single"/>
              <w:bottom w:color="000000" w:space="0" w:sz="4" w:val="single"/>
            </w:tcBorders>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sz w:val="20"/>
                <w:szCs w:val="20"/>
              </w:rPr>
            </w:pPr>
            <w:r w:rsidDel="00000000" w:rsidR="00000000" w:rsidRPr="00000000">
              <w:rPr>
                <w:rtl w:val="0"/>
              </w:rPr>
            </w:r>
          </w:p>
        </w:tc>
      </w:tr>
      <w:tr>
        <w:trPr>
          <w:cantSplit w:val="0"/>
          <w:trHeight w:val="836" w:hRule="atLeast"/>
          <w:tblHeader w:val="0"/>
        </w:trPr>
        <w:tc>
          <w:tcPr>
            <w:vMerge w:val="continue"/>
            <w:shd w:fill="f3f3f3" w:val="clea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4">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 dotyczy</w:t>
            </w:r>
          </w:p>
        </w:tc>
      </w:tr>
      <w:tr>
        <w:trPr>
          <w:cantSplit w:val="0"/>
          <w:trHeight w:val="317" w:hRule="atLeast"/>
          <w:tblHeader w:val="0"/>
        </w:trPr>
        <w:tc>
          <w:tcPr>
            <w:vMerge w:val="continue"/>
            <w:shd w:fill="f3f3f3" w:val="clea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76">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Inne</w:t>
            </w:r>
            <w:r w:rsidDel="00000000" w:rsidR="00000000" w:rsidRPr="00000000">
              <w:rPr>
                <w:rFonts w:ascii="Times New Roman" w:cs="Times New Roman" w:eastAsia="Times New Roman" w:hAnsi="Times New Roman"/>
                <w:sz w:val="20"/>
                <w:szCs w:val="20"/>
                <w:vertAlign w:val="superscript"/>
              </w:rPr>
              <w:footnoteReference w:customMarkFollows="0" w:id="3"/>
            </w:r>
            <w:r w:rsidDel="00000000" w:rsidR="00000000" w:rsidRPr="00000000">
              <w:rPr>
                <w:rFonts w:ascii="Times New Roman" w:cs="Times New Roman" w:eastAsia="Times New Roman" w:hAnsi="Times New Roman"/>
                <w:sz w:val="20"/>
                <w:szCs w:val="20"/>
                <w:vertAlign w:val="superscript"/>
                <w:rtl w:val="0"/>
              </w:rPr>
              <w:t xml:space="preserve">)</w:t>
            </w: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tcBorders>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 dotyczy </w:t>
            </w:r>
          </w:p>
        </w:tc>
      </w:tr>
      <w:tr>
        <w:trPr>
          <w:cantSplit w:val="0"/>
          <w:trHeight w:val="60" w:hRule="atLeast"/>
          <w:tblHeader w:val="0"/>
        </w:trPr>
        <w:tc>
          <w:tcPr>
            <w:vMerge w:val="restart"/>
            <w:shd w:fill="f3f3f3" w:val="clear"/>
          </w:tcPr>
          <w:p w:rsidR="00000000" w:rsidDel="00000000" w:rsidP="00000000" w:rsidRDefault="00000000" w:rsidRPr="00000000" w14:paraId="00000078">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Ustalenia obowiązującego miejscowego planu zagospodarowania przestrzennego dla terenu objętego przedsięwzięciem deweloperskim lub zadaniem inwestycyjnym </w:t>
            </w:r>
          </w:p>
          <w:p w:rsidR="00000000" w:rsidDel="00000000" w:rsidP="00000000" w:rsidRDefault="00000000" w:rsidRPr="00000000" w14:paraId="00000079">
            <w:pPr>
              <w:spacing w:after="144" w:before="144" w:line="240" w:lineRule="auto"/>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7A">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Przeznaczenie terenu</w:t>
            </w:r>
          </w:p>
        </w:tc>
        <w:tc>
          <w:tcPr/>
          <w:p w:rsidR="00000000" w:rsidDel="00000000" w:rsidP="00000000" w:rsidRDefault="00000000" w:rsidRPr="00000000" w14:paraId="0000007B">
            <w:pPr>
              <w:spacing w:after="144" w:before="144"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teren zabudowy mieszkaniowej jednorodzinnej oznaczony na wyrysie z planu symbolem 27MN</w:t>
            </w:r>
          </w:p>
        </w:tc>
      </w:tr>
      <w:tr>
        <w:trPr>
          <w:cantSplit w:val="0"/>
          <w:trHeight w:val="51" w:hRule="atLeast"/>
          <w:tblHeader w:val="0"/>
        </w:trPr>
        <w:tc>
          <w:tcPr>
            <w:vMerge w:val="continue"/>
            <w:shd w:fill="f3f3f3" w:val="clea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7D">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Maksymalna intensywność zabudowy</w:t>
            </w:r>
          </w:p>
        </w:tc>
        <w:tc>
          <w:tcPr/>
          <w:p w:rsidR="00000000" w:rsidDel="00000000" w:rsidP="00000000" w:rsidRDefault="00000000" w:rsidRPr="00000000" w14:paraId="0000007E">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Powierzchnia zabudowy nie przekraczająca 40% powierzchni działki lub nieruchomości gruntowej.</w:t>
            </w:r>
          </w:p>
        </w:tc>
      </w:tr>
      <w:tr>
        <w:trPr>
          <w:cantSplit w:val="0"/>
          <w:trHeight w:val="51" w:hRule="atLeast"/>
          <w:tblHeader w:val="0"/>
        </w:trPr>
        <w:tc>
          <w:tcPr>
            <w:vMerge w:val="continue"/>
            <w:shd w:fill="f3f3f3" w:val="clea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80">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Maksymalna i minimalna nadziemna intensywność zabudowy</w:t>
            </w:r>
          </w:p>
        </w:tc>
        <w:tc>
          <w:tcPr/>
          <w:p w:rsidR="00000000" w:rsidDel="00000000" w:rsidP="00000000" w:rsidRDefault="00000000" w:rsidRPr="00000000" w14:paraId="00000081">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0,01 do 0,40</w:t>
            </w:r>
          </w:p>
        </w:tc>
      </w:tr>
      <w:tr>
        <w:trPr>
          <w:cantSplit w:val="0"/>
          <w:trHeight w:val="51" w:hRule="atLeast"/>
          <w:tblHeader w:val="0"/>
        </w:trPr>
        <w:tc>
          <w:tcPr>
            <w:vMerge w:val="continue"/>
            <w:shd w:fill="f3f3f3" w:val="clea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83">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Maksymalna powierzchnia zabudowy</w:t>
            </w:r>
          </w:p>
        </w:tc>
        <w:tc>
          <w:tcPr/>
          <w:p w:rsidR="00000000" w:rsidDel="00000000" w:rsidP="00000000" w:rsidRDefault="00000000" w:rsidRPr="00000000" w14:paraId="00000084">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w:t>
            </w:r>
          </w:p>
        </w:tc>
      </w:tr>
      <w:tr>
        <w:trPr>
          <w:cantSplit w:val="0"/>
          <w:trHeight w:val="51" w:hRule="atLeast"/>
          <w:tblHeader w:val="0"/>
        </w:trPr>
        <w:tc>
          <w:tcPr>
            <w:vMerge w:val="continue"/>
            <w:shd w:fill="f3f3f3" w:val="clea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86">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Maksymalna wysokość zabudowy</w:t>
            </w:r>
          </w:p>
        </w:tc>
        <w:tc>
          <w:tcPr/>
          <w:p w:rsidR="00000000" w:rsidDel="00000000" w:rsidP="00000000" w:rsidRDefault="00000000" w:rsidRPr="00000000" w14:paraId="00000087">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Wysokość budynków:</w:t>
            </w:r>
          </w:p>
          <w:p w:rsidR="00000000" w:rsidDel="00000000" w:rsidP="00000000" w:rsidRDefault="00000000" w:rsidRPr="00000000" w14:paraId="00000088">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mieszkalnych nie wyższa niż 2 kondygnacje nadziemne, nieprzekraczająca 9m,</w:t>
            </w:r>
          </w:p>
          <w:p w:rsidR="00000000" w:rsidDel="00000000" w:rsidP="00000000" w:rsidRDefault="00000000" w:rsidRPr="00000000" w14:paraId="00000089">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garażowych nie wyższa niż 1 kondygnacja, nieprzekraczająca 4,5m.</w:t>
            </w:r>
          </w:p>
        </w:tc>
      </w:tr>
      <w:tr>
        <w:trPr>
          <w:cantSplit w:val="0"/>
          <w:trHeight w:val="51" w:hRule="atLeast"/>
          <w:tblHeader w:val="0"/>
        </w:trPr>
        <w:tc>
          <w:tcPr>
            <w:vMerge w:val="continue"/>
            <w:shd w:fill="f3f3f3" w:val="clea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8B">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Minimalny udział procentowy powierzchni biologicznie czynnej</w:t>
            </w:r>
          </w:p>
        </w:tc>
        <w:tc>
          <w:tcPr/>
          <w:p w:rsidR="00000000" w:rsidDel="00000000" w:rsidP="00000000" w:rsidRDefault="00000000" w:rsidRPr="00000000" w14:paraId="0000008C">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 mniejsza niż 30% powierzchni działki lub nieruchomości gruntowej</w:t>
            </w:r>
          </w:p>
        </w:tc>
      </w:tr>
      <w:tr>
        <w:trPr>
          <w:cantSplit w:val="0"/>
          <w:trHeight w:val="51" w:hRule="atLeast"/>
          <w:tblHeader w:val="0"/>
        </w:trPr>
        <w:tc>
          <w:tcPr>
            <w:vMerge w:val="continue"/>
            <w:shd w:fill="f3f3f3" w:val="clea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8E">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Minimalna liczba miejsc do parkowania</w:t>
            </w:r>
          </w:p>
        </w:tc>
        <w:tc>
          <w:tcPr/>
          <w:p w:rsidR="00000000" w:rsidDel="00000000" w:rsidP="00000000" w:rsidRDefault="00000000" w:rsidRPr="00000000" w14:paraId="0000008F">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Min. 1 stanowisko na 1 mieszkanie,</w:t>
            </w:r>
          </w:p>
          <w:p w:rsidR="00000000" w:rsidDel="00000000" w:rsidP="00000000" w:rsidRDefault="00000000" w:rsidRPr="00000000" w14:paraId="00000090">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 przypadku występowania usług, 1 stanowisko na każde rozpoczęte 100m</w:t>
            </w:r>
            <w:r w:rsidDel="00000000" w:rsidR="00000000" w:rsidRPr="00000000">
              <w:rPr>
                <w:rFonts w:ascii="Times New Roman" w:cs="Times New Roman" w:eastAsia="Times New Roman" w:hAnsi="Times New Roman"/>
                <w:sz w:val="20"/>
                <w:szCs w:val="20"/>
                <w:vertAlign w:val="superscript"/>
                <w:rtl w:val="0"/>
              </w:rPr>
              <w:t xml:space="preserve">2</w:t>
            </w:r>
            <w:r w:rsidDel="00000000" w:rsidR="00000000" w:rsidRPr="00000000">
              <w:rPr>
                <w:rFonts w:ascii="Times New Roman" w:cs="Times New Roman" w:eastAsia="Times New Roman" w:hAnsi="Times New Roman"/>
                <w:sz w:val="20"/>
                <w:szCs w:val="20"/>
                <w:rtl w:val="0"/>
              </w:rPr>
              <w:t xml:space="preserve"> powierzchni użytkowej</w:t>
            </w:r>
          </w:p>
        </w:tc>
      </w:tr>
      <w:tr>
        <w:trPr>
          <w:cantSplit w:val="0"/>
          <w:trHeight w:val="51" w:hRule="atLeast"/>
          <w:tblHeader w:val="0"/>
        </w:trPr>
        <w:tc>
          <w:tcPr>
            <w:vMerge w:val="continue"/>
            <w:shd w:fill="f3f3f3" w:val="clea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92">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Warunki ochrony środowiska i zdrowia ludzi, przyrody i krajobrazu</w:t>
            </w:r>
          </w:p>
        </w:tc>
        <w:tc>
          <w:tcPr/>
          <w:p w:rsidR="00000000" w:rsidDel="00000000" w:rsidP="00000000" w:rsidRDefault="00000000" w:rsidRPr="00000000" w14:paraId="00000093">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 problematyce ochrony środowiska plan ustala: </w:t>
            </w:r>
          </w:p>
          <w:p w:rsidR="00000000" w:rsidDel="00000000" w:rsidP="00000000" w:rsidRDefault="00000000" w:rsidRPr="00000000" w14:paraId="00000094">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w zakresie ochrony przed hałasem:</w:t>
              <w:br w:type="textWrapping"/>
              <w:t xml:space="preserve">a) tereny, o których mowa w § 7 pkt 1 i 2, należą do terenów przeznaczonych pod zabudowę mieszkaniową,</w:t>
            </w:r>
          </w:p>
          <w:p w:rsidR="00000000" w:rsidDel="00000000" w:rsidP="00000000" w:rsidRDefault="00000000" w:rsidRPr="00000000" w14:paraId="00000095">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 tereny, o których mowa w § 7 pkt 3, należą do terenów przeznaczonych na cele usługowo-mieszkaniowe,</w:t>
            </w:r>
          </w:p>
          <w:p w:rsidR="00000000" w:rsidDel="00000000" w:rsidP="00000000" w:rsidRDefault="00000000" w:rsidRPr="00000000" w14:paraId="00000096">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 teren, o którym mowa w § 7 pkt 5, należy do terenów zabudowy szpitalnej i domów opieki społecznej,</w:t>
            </w:r>
          </w:p>
          <w:p w:rsidR="00000000" w:rsidDel="00000000" w:rsidP="00000000" w:rsidRDefault="00000000" w:rsidRPr="00000000" w14:paraId="00000097">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 tereny, o których mowa w § 7 pkt 4 i 6–12, nie należą do żadnego z terenów, objętych ochroną akustyczną, określoną w odrębnych przepisach o ochronie środowiska;</w:t>
            </w:r>
          </w:p>
          <w:p w:rsidR="00000000" w:rsidDel="00000000" w:rsidP="00000000" w:rsidRDefault="00000000" w:rsidRPr="00000000" w14:paraId="00000098">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obowiązek zastosowania odpowiednich środków technicznych mających na celu zachowanie nieprzekraczalnych poziomów hałasu i norm poziomu hałasu na terenach podlegających ochronie akustycznej;</w:t>
            </w:r>
          </w:p>
          <w:p w:rsidR="00000000" w:rsidDel="00000000" w:rsidP="00000000" w:rsidRDefault="00000000" w:rsidRPr="00000000" w14:paraId="00000099">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zakaz likwidacji istniejących w obszarze planu wód powierzchniowych (z wyjątkiem przeznaczenia pod tereny ulic), z możliwością korekty linii brzegowej (przy zachowaniu nie mniej niż 80% powierzchni lustra wody);</w:t>
            </w:r>
          </w:p>
          <w:p w:rsidR="00000000" w:rsidDel="00000000" w:rsidP="00000000" w:rsidRDefault="00000000" w:rsidRPr="00000000" w14:paraId="0000009A">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zakaz wprowadzania nowych przedsięwzięć, które na podstawie przepisów odrębnych są zaliczane do przedsięwzięć mogących zawsze znacząco oddziaływać na środowisko oraz do przedsięwzięć mogących potencjalnie znacząco oddziaływać na środowisko, z wyłączeniem przedsięwzięć związanych z realizacją dróg i infrastruktury technicznej oraz z wyłączeniem lokalizacji na terenach oznaczonych symbolami U (z wyłączeniem 13U), ZC, ZUKS i UP instalacji do gromadzenia wód, stacji obsługi lub remontowych sprzętu budowlanego lub rolniczego, lub środków transportu oraz stacji paliw;</w:t>
            </w:r>
          </w:p>
          <w:p w:rsidR="00000000" w:rsidDel="00000000" w:rsidP="00000000" w:rsidRDefault="00000000" w:rsidRPr="00000000" w14:paraId="0000009B">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dla terenów oznaczonych na rysunku planu symbolami MN, MW, UM oraz U, zakaz lokalizowania usług, których uciążliwość przekracza granice terenu, do którego inwestor ma tytuł prawny;</w:t>
            </w:r>
          </w:p>
          <w:p w:rsidR="00000000" w:rsidDel="00000000" w:rsidP="00000000" w:rsidRDefault="00000000" w:rsidRPr="00000000" w14:paraId="0000009C">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strefę sanitarną od cmentarza, w której zakazuje się lokalizacji zabudowań mieszkalnych, zakładów żywienia, produkcji i składowania żywności;</w:t>
            </w:r>
          </w:p>
          <w:p w:rsidR="00000000" w:rsidDel="00000000" w:rsidP="00000000" w:rsidRDefault="00000000" w:rsidRPr="00000000" w14:paraId="0000009D">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obszar bezpośredniego zagrożenia powodzią i strefę występowania gleb organicznych (torfów), wyłączone z zabudowy.</w:t>
            </w:r>
          </w:p>
        </w:tc>
      </w:tr>
      <w:tr>
        <w:trPr>
          <w:cantSplit w:val="0"/>
          <w:trHeight w:val="51" w:hRule="atLeast"/>
          <w:tblHeader w:val="0"/>
        </w:trPr>
        <w:tc>
          <w:tcPr>
            <w:vMerge w:val="continue"/>
            <w:shd w:fill="f3f3f3" w:val="clea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9F">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Wymagania dotyczące zabudowy i zagospodarowania terenu położonego na obszarach szczególnego zagrożenia powodzią</w:t>
            </w:r>
          </w:p>
        </w:tc>
        <w:tc>
          <w:tcPr/>
          <w:p w:rsidR="00000000" w:rsidDel="00000000" w:rsidP="00000000" w:rsidRDefault="00000000" w:rsidRPr="00000000" w14:paraId="000000A0">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 dotyczy </w:t>
            </w:r>
          </w:p>
        </w:tc>
      </w:tr>
      <w:tr>
        <w:trPr>
          <w:cantSplit w:val="0"/>
          <w:trHeight w:val="51" w:hRule="atLeast"/>
          <w:tblHeader w:val="0"/>
        </w:trPr>
        <w:tc>
          <w:tcPr>
            <w:vMerge w:val="continue"/>
            <w:shd w:fill="f3f3f3" w:val="clea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A2">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Warunki ochrony dziedzictwa kulturowego i zabytków oraz dóbr kultury współczesnej</w:t>
            </w:r>
          </w:p>
        </w:tc>
        <w:tc>
          <w:tcPr/>
          <w:p w:rsidR="00000000" w:rsidDel="00000000" w:rsidP="00000000" w:rsidRDefault="00000000" w:rsidRPr="00000000" w14:paraId="000000A3">
            <w:pPr>
              <w:widowControl w:val="0"/>
              <w:numPr>
                <w:ilvl w:val="0"/>
                <w:numId w:val="9"/>
              </w:numPr>
              <w:pBdr>
                <w:top w:space="0" w:sz="0" w:val="nil"/>
                <w:left w:space="0" w:sz="0" w:val="nil"/>
                <w:bottom w:space="0" w:sz="0" w:val="nil"/>
                <w:right w:space="0" w:sz="0" w:val="nil"/>
                <w:between w:space="0" w:sz="0" w:val="nil"/>
              </w:pBdr>
              <w:spacing w:after="144" w:before="144" w:line="240" w:lineRule="auto"/>
              <w:ind w:left="323" w:hanging="284"/>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 zakresie ochrony i rewitalizacji dziedzictwa kulturowego i zabytków, plan ustala ochronę zabytków archeologicznych (stanowisko archeologiczne nr ew. AZP 58-64/26 i A.107), w formie stref ochrony archeologicznej, określonych na rysunku planu i oznaczonych numerami 58-64/26 i A.107. W granicach stref plan ustala:</w:t>
            </w:r>
          </w:p>
          <w:p w:rsidR="00000000" w:rsidDel="00000000" w:rsidP="00000000" w:rsidRDefault="00000000" w:rsidRPr="00000000" w14:paraId="000000A4">
            <w:pPr>
              <w:spacing w:after="144" w:before="144" w:line="240" w:lineRule="auto"/>
              <w:ind w:left="3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obowiązek uzyskania przez inwestora, od wojewódzkiego konserwatora zabytków – przed wydaniem pozwolenia na budowę lub zgłoszeniem właściwemu organowi – uzgodnienia wszelkich planowanych działań inwestycyjnych, wiążących się z wykonywaniem prac ziemnych,</w:t>
            </w:r>
          </w:p>
          <w:p w:rsidR="00000000" w:rsidDel="00000000" w:rsidP="00000000" w:rsidRDefault="00000000" w:rsidRPr="00000000" w14:paraId="000000A5">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 obowiązek przeprowadzenia (na koszt osoby fizycznej lub jednostki organizacyjnej zamierzającej realizować roboty budowlane) badań archeologicznych oraz wykonania ich dokumentacji,</w:t>
            </w:r>
          </w:p>
          <w:p w:rsidR="00000000" w:rsidDel="00000000" w:rsidP="00000000" w:rsidRDefault="00000000" w:rsidRPr="00000000" w14:paraId="000000A6">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 przed rozpoczęciem badań archeologicznych wymagane jest uzyskanie od wojewódzkiego konserwatora zabytków pozwolenia na ich prowadzenie;</w:t>
            </w:r>
          </w:p>
          <w:p w:rsidR="00000000" w:rsidDel="00000000" w:rsidP="00000000" w:rsidRDefault="00000000" w:rsidRPr="00000000" w14:paraId="000000A7">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Plan ustala ochronę oraz wymóg uzgadniania z wojewódzkim konserwatorem zabytków wszelkich robót budowlanych mających wpływ na wygląd obiektów zabytkowych znajdujących się w ewidencji wojewódzkiej-budynków oznaczonych na rysunku planu.</w:t>
            </w:r>
          </w:p>
        </w:tc>
      </w:tr>
      <w:tr>
        <w:trPr>
          <w:cantSplit w:val="0"/>
          <w:trHeight w:val="51" w:hRule="atLeast"/>
          <w:tblHeader w:val="0"/>
        </w:trPr>
        <w:tc>
          <w:tcPr>
            <w:vMerge w:val="continue"/>
            <w:shd w:fill="f3f3f3" w:val="clea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A9">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Wymagania dotyczące ochrony innych terenów lub obiektów podlegających ochronie na podstawie przepisów odrębnych</w:t>
            </w:r>
          </w:p>
        </w:tc>
        <w:tc>
          <w:tcPr/>
          <w:p w:rsidR="00000000" w:rsidDel="00000000" w:rsidP="00000000" w:rsidRDefault="00000000" w:rsidRPr="00000000" w14:paraId="000000AA">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 dotyczy </w:t>
            </w:r>
          </w:p>
        </w:tc>
      </w:tr>
      <w:tr>
        <w:trPr>
          <w:cantSplit w:val="0"/>
          <w:trHeight w:val="51" w:hRule="atLeast"/>
          <w:tblHeader w:val="0"/>
        </w:trPr>
        <w:tc>
          <w:tcPr>
            <w:vMerge w:val="continue"/>
            <w:shd w:fill="f3f3f3" w:val="clea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AC">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Warunki i szczegółowe zasady obsługi w zakresie komunikacji</w:t>
            </w:r>
          </w:p>
        </w:tc>
        <w:tc>
          <w:tcPr/>
          <w:p w:rsidR="00000000" w:rsidDel="00000000" w:rsidP="00000000" w:rsidRDefault="00000000" w:rsidRPr="00000000" w14:paraId="000000AD">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Obsługę komunikacyjną terenów ustala się z przyległych ulic KDD, KDL, i ciągów pieszo-jezdnych KX. Obowiązuje zakaz urządzania nowych zjazdów bezpośrednio na działki z ulicy głównej 2KDG2/2.</w:t>
            </w:r>
          </w:p>
        </w:tc>
      </w:tr>
      <w:tr>
        <w:trPr>
          <w:cantSplit w:val="0"/>
          <w:trHeight w:val="51" w:hRule="atLeast"/>
          <w:tblHeader w:val="0"/>
        </w:trPr>
        <w:tc>
          <w:tcPr>
            <w:vMerge w:val="continue"/>
            <w:shd w:fill="f3f3f3" w:val="clea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AF">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Warunki i szczegółowe zasady obsługi w zakresie infrastruktury technicznej</w:t>
            </w:r>
          </w:p>
        </w:tc>
        <w:tc>
          <w:tcPr/>
          <w:p w:rsidR="00000000" w:rsidDel="00000000" w:rsidP="00000000" w:rsidRDefault="00000000" w:rsidRPr="00000000" w14:paraId="000000B0">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Zaopatrzenie w wodę:</w:t>
            </w:r>
          </w:p>
          <w:p w:rsidR="00000000" w:rsidDel="00000000" w:rsidP="00000000" w:rsidRDefault="00000000" w:rsidRPr="00000000" w14:paraId="000000B1">
            <w:pPr>
              <w:widowControl w:val="0"/>
              <w:numPr>
                <w:ilvl w:val="0"/>
                <w:numId w:val="10"/>
              </w:numPr>
              <w:pBdr>
                <w:top w:space="0" w:sz="0" w:val="nil"/>
                <w:left w:space="0" w:sz="0" w:val="nil"/>
                <w:bottom w:space="0" w:sz="0" w:val="nil"/>
                <w:right w:space="0" w:sz="0" w:val="nil"/>
                <w:between w:space="0" w:sz="0" w:val="nil"/>
              </w:pBdr>
              <w:spacing w:after="0" w:before="144" w:line="240" w:lineRule="auto"/>
              <w:ind w:left="321" w:hanging="284"/>
              <w:jc w:val="both"/>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Z miejskiej sieci wodociągowej.</w:t>
            </w:r>
          </w:p>
          <w:p w:rsidR="00000000" w:rsidDel="00000000" w:rsidP="00000000" w:rsidRDefault="00000000" w:rsidRPr="00000000" w14:paraId="000000B2">
            <w:pPr>
              <w:widowControl w:val="0"/>
              <w:numPr>
                <w:ilvl w:val="0"/>
                <w:numId w:val="10"/>
              </w:numPr>
              <w:pBdr>
                <w:top w:space="0" w:sz="0" w:val="nil"/>
                <w:left w:space="0" w:sz="0" w:val="nil"/>
                <w:bottom w:space="0" w:sz="0" w:val="nil"/>
                <w:right w:space="0" w:sz="0" w:val="nil"/>
                <w:between w:space="0" w:sz="0" w:val="nil"/>
              </w:pBdr>
              <w:spacing w:after="144" w:line="240" w:lineRule="auto"/>
              <w:ind w:left="321" w:hanging="284"/>
              <w:jc w:val="both"/>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Nowa zabudowa – budowa sieci w liniach rozgraniczających ulic.</w:t>
            </w:r>
          </w:p>
          <w:p w:rsidR="00000000" w:rsidDel="00000000" w:rsidP="00000000" w:rsidRDefault="00000000" w:rsidRPr="00000000" w14:paraId="000000B3">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Odprowadzanie ścieków:</w:t>
            </w:r>
          </w:p>
          <w:p w:rsidR="00000000" w:rsidDel="00000000" w:rsidP="00000000" w:rsidRDefault="00000000" w:rsidRPr="00000000" w14:paraId="000000B4">
            <w:pPr>
              <w:widowControl w:val="0"/>
              <w:numPr>
                <w:ilvl w:val="0"/>
                <w:numId w:val="10"/>
              </w:numPr>
              <w:pBdr>
                <w:top w:space="0" w:sz="0" w:val="nil"/>
                <w:left w:space="0" w:sz="0" w:val="nil"/>
                <w:bottom w:space="0" w:sz="0" w:val="nil"/>
                <w:right w:space="0" w:sz="0" w:val="nil"/>
                <w:between w:space="0" w:sz="0" w:val="nil"/>
              </w:pBdr>
              <w:spacing w:after="0" w:before="144" w:line="240" w:lineRule="auto"/>
              <w:ind w:left="321" w:hanging="284"/>
              <w:jc w:val="both"/>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Rozdzielczy system kanalizacji, odprowadzenie do kolektora przy rzece Utracie i oczyszczalni przy ul. Domaniewskiej.</w:t>
            </w:r>
          </w:p>
          <w:p w:rsidR="00000000" w:rsidDel="00000000" w:rsidP="00000000" w:rsidRDefault="00000000" w:rsidRPr="00000000" w14:paraId="000000B5">
            <w:pPr>
              <w:widowControl w:val="0"/>
              <w:numPr>
                <w:ilvl w:val="0"/>
                <w:numId w:val="10"/>
              </w:numPr>
              <w:pBdr>
                <w:top w:space="0" w:sz="0" w:val="nil"/>
                <w:left w:space="0" w:sz="0" w:val="nil"/>
                <w:bottom w:space="0" w:sz="0" w:val="nil"/>
                <w:right w:space="0" w:sz="0" w:val="nil"/>
                <w:between w:space="0" w:sz="0" w:val="nil"/>
              </w:pBdr>
              <w:spacing w:after="0" w:line="240" w:lineRule="auto"/>
              <w:ind w:left="321" w:hanging="284"/>
              <w:jc w:val="both"/>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Dopuszcza się kanalizację indywidualną do czasu budowy sieci miejskiej, z obowiązkiem późniejszego przyłączenia.</w:t>
            </w:r>
          </w:p>
          <w:p w:rsidR="00000000" w:rsidDel="00000000" w:rsidP="00000000" w:rsidRDefault="00000000" w:rsidRPr="00000000" w14:paraId="000000B6">
            <w:pPr>
              <w:widowControl w:val="0"/>
              <w:numPr>
                <w:ilvl w:val="0"/>
                <w:numId w:val="10"/>
              </w:numPr>
              <w:pBdr>
                <w:top w:space="0" w:sz="0" w:val="nil"/>
                <w:left w:space="0" w:sz="0" w:val="nil"/>
                <w:bottom w:space="0" w:sz="0" w:val="nil"/>
                <w:right w:space="0" w:sz="0" w:val="nil"/>
                <w:between w:space="0" w:sz="0" w:val="nil"/>
              </w:pBdr>
              <w:spacing w:after="144" w:line="240" w:lineRule="auto"/>
              <w:ind w:left="321" w:hanging="284"/>
              <w:jc w:val="both"/>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 razie przekroczenia norm – obowiązek podczyszczania ścieków na miejscu.</w:t>
            </w:r>
          </w:p>
          <w:p w:rsidR="00000000" w:rsidDel="00000000" w:rsidP="00000000" w:rsidRDefault="00000000" w:rsidRPr="00000000" w14:paraId="000000B7">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Odprowadzanie wód opadowych:</w:t>
            </w:r>
          </w:p>
          <w:p w:rsidR="00000000" w:rsidDel="00000000" w:rsidP="00000000" w:rsidRDefault="00000000" w:rsidRPr="00000000" w14:paraId="000000B8">
            <w:pPr>
              <w:widowControl w:val="0"/>
              <w:numPr>
                <w:ilvl w:val="0"/>
                <w:numId w:val="11"/>
              </w:numPr>
              <w:pBdr>
                <w:top w:space="0" w:sz="0" w:val="nil"/>
                <w:left w:space="0" w:sz="0" w:val="nil"/>
                <w:bottom w:space="0" w:sz="0" w:val="nil"/>
                <w:right w:space="0" w:sz="0" w:val="nil"/>
                <w:between w:space="0" w:sz="0" w:val="nil"/>
              </w:pBdr>
              <w:spacing w:after="0" w:before="144" w:line="240" w:lineRule="auto"/>
              <w:ind w:left="321" w:hanging="284"/>
              <w:jc w:val="both"/>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Kanalizacja deszczowa z odprowadzeniem do rzek Żbikówki i Utraty przez rowy i zbiorniki retencyjne.</w:t>
            </w:r>
          </w:p>
          <w:p w:rsidR="00000000" w:rsidDel="00000000" w:rsidP="00000000" w:rsidRDefault="00000000" w:rsidRPr="00000000" w14:paraId="000000B9">
            <w:pPr>
              <w:widowControl w:val="0"/>
              <w:numPr>
                <w:ilvl w:val="0"/>
                <w:numId w:val="11"/>
              </w:numPr>
              <w:pBdr>
                <w:top w:space="0" w:sz="0" w:val="nil"/>
                <w:left w:space="0" w:sz="0" w:val="nil"/>
                <w:bottom w:space="0" w:sz="0" w:val="nil"/>
                <w:right w:space="0" w:sz="0" w:val="nil"/>
                <w:between w:space="0" w:sz="0" w:val="nil"/>
              </w:pBdr>
              <w:spacing w:after="0" w:line="240" w:lineRule="auto"/>
              <w:ind w:left="321" w:hanging="284"/>
              <w:jc w:val="both"/>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Możliwy spływ powierzchniowy i infiltracja na działkach.</w:t>
            </w:r>
          </w:p>
          <w:p w:rsidR="00000000" w:rsidDel="00000000" w:rsidP="00000000" w:rsidRDefault="00000000" w:rsidRPr="00000000" w14:paraId="000000BA">
            <w:pPr>
              <w:widowControl w:val="0"/>
              <w:numPr>
                <w:ilvl w:val="0"/>
                <w:numId w:val="11"/>
              </w:numPr>
              <w:pBdr>
                <w:top w:space="0" w:sz="0" w:val="nil"/>
                <w:left w:space="0" w:sz="0" w:val="nil"/>
                <w:bottom w:space="0" w:sz="0" w:val="nil"/>
                <w:right w:space="0" w:sz="0" w:val="nil"/>
                <w:between w:space="0" w:sz="0" w:val="nil"/>
              </w:pBdr>
              <w:spacing w:after="0" w:line="240" w:lineRule="auto"/>
              <w:ind w:left="321" w:hanging="284"/>
              <w:jc w:val="both"/>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Zakaz zmiany poziomu terenu i kierunku odpływu wód ze szkodą dla sąsiadów.</w:t>
            </w:r>
          </w:p>
          <w:p w:rsidR="00000000" w:rsidDel="00000000" w:rsidP="00000000" w:rsidRDefault="00000000" w:rsidRPr="00000000" w14:paraId="000000BB">
            <w:pPr>
              <w:widowControl w:val="0"/>
              <w:numPr>
                <w:ilvl w:val="0"/>
                <w:numId w:val="11"/>
              </w:numPr>
              <w:pBdr>
                <w:top w:space="0" w:sz="0" w:val="nil"/>
                <w:left w:space="0" w:sz="0" w:val="nil"/>
                <w:bottom w:space="0" w:sz="0" w:val="nil"/>
                <w:right w:space="0" w:sz="0" w:val="nil"/>
                <w:between w:space="0" w:sz="0" w:val="nil"/>
              </w:pBdr>
              <w:spacing w:after="144" w:line="240" w:lineRule="auto"/>
              <w:ind w:left="321" w:hanging="284"/>
              <w:jc w:val="both"/>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Obowiązek oczyszczania wód opadowych przed odprowadzeniem.</w:t>
            </w:r>
          </w:p>
          <w:p w:rsidR="00000000" w:rsidDel="00000000" w:rsidP="00000000" w:rsidRDefault="00000000" w:rsidRPr="00000000" w14:paraId="000000BC">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Melioracja:</w:t>
            </w:r>
          </w:p>
          <w:p w:rsidR="00000000" w:rsidDel="00000000" w:rsidP="00000000" w:rsidRDefault="00000000" w:rsidRPr="00000000" w14:paraId="000000BD">
            <w:pPr>
              <w:widowControl w:val="0"/>
              <w:numPr>
                <w:ilvl w:val="0"/>
                <w:numId w:val="12"/>
              </w:numPr>
              <w:pBdr>
                <w:top w:space="0" w:sz="0" w:val="nil"/>
                <w:left w:space="0" w:sz="0" w:val="nil"/>
                <w:bottom w:space="0" w:sz="0" w:val="nil"/>
                <w:right w:space="0" w:sz="0" w:val="nil"/>
                <w:between w:space="0" w:sz="0" w:val="nil"/>
              </w:pBdr>
              <w:spacing w:after="0" w:before="144" w:line="240" w:lineRule="auto"/>
              <w:ind w:left="321" w:hanging="284"/>
              <w:jc w:val="both"/>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Utrzymanie sprawności istniejących urządzeń.</w:t>
            </w:r>
          </w:p>
          <w:p w:rsidR="00000000" w:rsidDel="00000000" w:rsidP="00000000" w:rsidRDefault="00000000" w:rsidRPr="00000000" w14:paraId="000000BE">
            <w:pPr>
              <w:widowControl w:val="0"/>
              <w:numPr>
                <w:ilvl w:val="0"/>
                <w:numId w:val="12"/>
              </w:numPr>
              <w:pBdr>
                <w:top w:space="0" w:sz="0" w:val="nil"/>
                <w:left w:space="0" w:sz="0" w:val="nil"/>
                <w:bottom w:space="0" w:sz="0" w:val="nil"/>
                <w:right w:space="0" w:sz="0" w:val="nil"/>
                <w:between w:space="0" w:sz="0" w:val="nil"/>
              </w:pBdr>
              <w:spacing w:after="144" w:line="240" w:lineRule="auto"/>
              <w:ind w:left="321" w:hanging="284"/>
              <w:jc w:val="both"/>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Możliwa przebudowa lub zastąpienie rowów kolektorami, pod warunkiem zachowania drożności.</w:t>
            </w:r>
          </w:p>
          <w:p w:rsidR="00000000" w:rsidDel="00000000" w:rsidP="00000000" w:rsidRDefault="00000000" w:rsidRPr="00000000" w14:paraId="000000BF">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Energie elektryczna:</w:t>
            </w:r>
          </w:p>
          <w:p w:rsidR="00000000" w:rsidDel="00000000" w:rsidP="00000000" w:rsidRDefault="00000000" w:rsidRPr="00000000" w14:paraId="000000C0">
            <w:pPr>
              <w:widowControl w:val="0"/>
              <w:numPr>
                <w:ilvl w:val="0"/>
                <w:numId w:val="15"/>
              </w:numPr>
              <w:pBdr>
                <w:top w:space="0" w:sz="0" w:val="nil"/>
                <w:left w:space="0" w:sz="0" w:val="nil"/>
                <w:bottom w:space="0" w:sz="0" w:val="nil"/>
                <w:right w:space="0" w:sz="0" w:val="nil"/>
                <w:between w:space="0" w:sz="0" w:val="nil"/>
              </w:pBdr>
              <w:spacing w:after="0" w:before="144" w:line="240" w:lineRule="auto"/>
              <w:ind w:left="321" w:hanging="284"/>
              <w:jc w:val="both"/>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Zasilanie z rozbudowywanej sieci średniego i niskiego napięcia.</w:t>
            </w:r>
          </w:p>
          <w:p w:rsidR="00000000" w:rsidDel="00000000" w:rsidP="00000000" w:rsidRDefault="00000000" w:rsidRPr="00000000" w14:paraId="000000C1">
            <w:pPr>
              <w:widowControl w:val="0"/>
              <w:numPr>
                <w:ilvl w:val="0"/>
                <w:numId w:val="15"/>
              </w:numPr>
              <w:pBdr>
                <w:top w:space="0" w:sz="0" w:val="nil"/>
                <w:left w:space="0" w:sz="0" w:val="nil"/>
                <w:bottom w:space="0" w:sz="0" w:val="nil"/>
                <w:right w:space="0" w:sz="0" w:val="nil"/>
                <w:between w:space="0" w:sz="0" w:val="nil"/>
              </w:pBdr>
              <w:spacing w:after="0" w:line="240" w:lineRule="auto"/>
              <w:ind w:left="321" w:hanging="284"/>
              <w:jc w:val="both"/>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Nowe stacje transformatorowe na działkach lub wbudowane w budynki.</w:t>
            </w:r>
          </w:p>
          <w:p w:rsidR="00000000" w:rsidDel="00000000" w:rsidP="00000000" w:rsidRDefault="00000000" w:rsidRPr="00000000" w14:paraId="000000C2">
            <w:pPr>
              <w:widowControl w:val="0"/>
              <w:numPr>
                <w:ilvl w:val="0"/>
                <w:numId w:val="15"/>
              </w:numPr>
              <w:pBdr>
                <w:top w:space="0" w:sz="0" w:val="nil"/>
                <w:left w:space="0" w:sz="0" w:val="nil"/>
                <w:bottom w:space="0" w:sz="0" w:val="nil"/>
                <w:right w:space="0" w:sz="0" w:val="nil"/>
                <w:between w:space="0" w:sz="0" w:val="nil"/>
              </w:pBdr>
              <w:spacing w:after="144" w:line="240" w:lineRule="auto"/>
              <w:ind w:left="321" w:hanging="284"/>
              <w:jc w:val="both"/>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Strefa bezpieczeństwa linii 15 kV – 12 m szerokości, zakaz zabudowy mieszkalnej w tej strefie.</w:t>
            </w:r>
          </w:p>
          <w:p w:rsidR="00000000" w:rsidDel="00000000" w:rsidP="00000000" w:rsidRDefault="00000000" w:rsidRPr="00000000" w14:paraId="000000C3">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Gaz:</w:t>
            </w:r>
          </w:p>
          <w:p w:rsidR="00000000" w:rsidDel="00000000" w:rsidP="00000000" w:rsidRDefault="00000000" w:rsidRPr="00000000" w14:paraId="000000C4">
            <w:pPr>
              <w:widowControl w:val="0"/>
              <w:numPr>
                <w:ilvl w:val="0"/>
                <w:numId w:val="2"/>
              </w:numPr>
              <w:pBdr>
                <w:top w:space="0" w:sz="0" w:val="nil"/>
                <w:left w:space="0" w:sz="0" w:val="nil"/>
                <w:bottom w:space="0" w:sz="0" w:val="nil"/>
                <w:right w:space="0" w:sz="0" w:val="nil"/>
                <w:between w:space="0" w:sz="0" w:val="nil"/>
              </w:pBdr>
              <w:spacing w:after="0" w:before="144" w:line="240" w:lineRule="auto"/>
              <w:ind w:left="321" w:hanging="284"/>
              <w:jc w:val="both"/>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Z istniejącej sieci średniego ciśnienia w ul. 3 Maja i Ożarowskiej, z możliwością rozbudowy.</w:t>
            </w:r>
          </w:p>
          <w:p w:rsidR="00000000" w:rsidDel="00000000" w:rsidP="00000000" w:rsidRDefault="00000000" w:rsidRPr="00000000" w14:paraId="000000C5">
            <w:pPr>
              <w:widowControl w:val="0"/>
              <w:numPr>
                <w:ilvl w:val="0"/>
                <w:numId w:val="2"/>
              </w:numPr>
              <w:pBdr>
                <w:top w:space="0" w:sz="0" w:val="nil"/>
                <w:left w:space="0" w:sz="0" w:val="nil"/>
                <w:bottom w:space="0" w:sz="0" w:val="nil"/>
                <w:right w:space="0" w:sz="0" w:val="nil"/>
                <w:between w:space="0" w:sz="0" w:val="nil"/>
              </w:pBdr>
              <w:spacing w:after="144" w:line="240" w:lineRule="auto"/>
              <w:ind w:left="321" w:hanging="284"/>
              <w:jc w:val="both"/>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Szafki gazowe w ogrodzeniu od strony ulicy.</w:t>
            </w:r>
          </w:p>
          <w:p w:rsidR="00000000" w:rsidDel="00000000" w:rsidP="00000000" w:rsidRDefault="00000000" w:rsidRPr="00000000" w14:paraId="000000C6">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Ciepło:</w:t>
            </w:r>
          </w:p>
          <w:p w:rsidR="00000000" w:rsidDel="00000000" w:rsidP="00000000" w:rsidRDefault="00000000" w:rsidRPr="00000000" w14:paraId="000000C7">
            <w:pPr>
              <w:widowControl w:val="0"/>
              <w:numPr>
                <w:ilvl w:val="0"/>
                <w:numId w:val="3"/>
              </w:numPr>
              <w:pBdr>
                <w:top w:space="0" w:sz="0" w:val="nil"/>
                <w:left w:space="0" w:sz="0" w:val="nil"/>
                <w:bottom w:space="0" w:sz="0" w:val="nil"/>
                <w:right w:space="0" w:sz="0" w:val="nil"/>
                <w:between w:space="0" w:sz="0" w:val="nil"/>
              </w:pBdr>
              <w:spacing w:after="0" w:before="144" w:line="240" w:lineRule="auto"/>
              <w:ind w:left="321" w:hanging="284"/>
              <w:jc w:val="both"/>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Z lokalnych źródeł, preferowane paliwa ekologiczne.</w:t>
            </w:r>
          </w:p>
          <w:p w:rsidR="00000000" w:rsidDel="00000000" w:rsidP="00000000" w:rsidRDefault="00000000" w:rsidRPr="00000000" w14:paraId="000000C8">
            <w:pPr>
              <w:widowControl w:val="0"/>
              <w:numPr>
                <w:ilvl w:val="0"/>
                <w:numId w:val="3"/>
              </w:numPr>
              <w:pBdr>
                <w:top w:space="0" w:sz="0" w:val="nil"/>
                <w:left w:space="0" w:sz="0" w:val="nil"/>
                <w:bottom w:space="0" w:sz="0" w:val="nil"/>
                <w:right w:space="0" w:sz="0" w:val="nil"/>
                <w:between w:space="0" w:sz="0" w:val="nil"/>
              </w:pBdr>
              <w:spacing w:after="144" w:line="240" w:lineRule="auto"/>
              <w:ind w:left="321" w:hanging="284"/>
              <w:jc w:val="both"/>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Możliwe zasilanie z miejskiej sieci ciepłowniczej.</w:t>
            </w:r>
          </w:p>
          <w:p w:rsidR="00000000" w:rsidDel="00000000" w:rsidP="00000000" w:rsidRDefault="00000000" w:rsidRPr="00000000" w14:paraId="000000C9">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Telekomunikacja:</w:t>
            </w:r>
          </w:p>
          <w:p w:rsidR="00000000" w:rsidDel="00000000" w:rsidP="00000000" w:rsidRDefault="00000000" w:rsidRPr="00000000" w14:paraId="000000CA">
            <w:pPr>
              <w:widowControl w:val="0"/>
              <w:numPr>
                <w:ilvl w:val="0"/>
                <w:numId w:val="4"/>
              </w:numPr>
              <w:pBdr>
                <w:top w:space="0" w:sz="0" w:val="nil"/>
                <w:left w:space="0" w:sz="0" w:val="nil"/>
                <w:bottom w:space="0" w:sz="0" w:val="nil"/>
                <w:right w:space="0" w:sz="0" w:val="nil"/>
                <w:between w:space="0" w:sz="0" w:val="nil"/>
              </w:pBdr>
              <w:spacing w:after="0" w:before="144" w:line="240" w:lineRule="auto"/>
              <w:ind w:left="321" w:hanging="284"/>
              <w:jc w:val="both"/>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Sieci dowolnego operatora w liniach rozgraniczających ulic.</w:t>
            </w:r>
          </w:p>
          <w:p w:rsidR="00000000" w:rsidDel="00000000" w:rsidP="00000000" w:rsidRDefault="00000000" w:rsidRPr="00000000" w14:paraId="000000CB">
            <w:pPr>
              <w:widowControl w:val="0"/>
              <w:numPr>
                <w:ilvl w:val="0"/>
                <w:numId w:val="4"/>
              </w:numPr>
              <w:pBdr>
                <w:top w:space="0" w:sz="0" w:val="nil"/>
                <w:left w:space="0" w:sz="0" w:val="nil"/>
                <w:bottom w:space="0" w:sz="0" w:val="nil"/>
                <w:right w:space="0" w:sz="0" w:val="nil"/>
                <w:between w:space="0" w:sz="0" w:val="nil"/>
              </w:pBdr>
              <w:spacing w:after="144" w:line="240" w:lineRule="auto"/>
              <w:ind w:left="321" w:hanging="284"/>
              <w:jc w:val="both"/>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Zakaz budowy nowych wolnostojących masztów telefonii komórkowej.</w:t>
            </w:r>
          </w:p>
        </w:tc>
      </w:tr>
      <w:tr>
        <w:trPr>
          <w:cantSplit w:val="0"/>
          <w:trHeight w:val="288" w:hRule="atLeast"/>
          <w:tblHeader w:val="0"/>
        </w:trPr>
        <w:tc>
          <w:tcPr>
            <w:vMerge w:val="restart"/>
            <w:shd w:fill="f3f3f3" w:val="clear"/>
          </w:tcPr>
          <w:p w:rsidR="00000000" w:rsidDel="00000000" w:rsidP="00000000" w:rsidRDefault="00000000" w:rsidRPr="00000000" w14:paraId="000000CC">
            <w:pPr>
              <w:spacing w:after="144" w:before="144"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D">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Ustalenia obowiązującego miejscowego planu zagospodarowania przestrzennego dla działek lub ich fragmentów, znajdujących się w odległości do 100 m od granicy terenu objętego przedsięwzięciem deweloperskim lub zadaniem inwestycyjnym</w:t>
            </w:r>
            <w:r w:rsidDel="00000000" w:rsidR="00000000" w:rsidRPr="00000000">
              <w:rPr>
                <w:rFonts w:ascii="Times New Roman" w:cs="Times New Roman" w:eastAsia="Times New Roman" w:hAnsi="Times New Roman"/>
                <w:sz w:val="20"/>
                <w:szCs w:val="20"/>
                <w:vertAlign w:val="superscript"/>
              </w:rPr>
              <w:footnoteReference w:customMarkFollows="0" w:id="4"/>
            </w:r>
            <w:r w:rsidDel="00000000" w:rsidR="00000000" w:rsidRPr="00000000">
              <w:rPr>
                <w:rFonts w:ascii="Times New Roman" w:cs="Times New Roman" w:eastAsia="Times New Roman" w:hAnsi="Times New Roman"/>
                <w:sz w:val="20"/>
                <w:szCs w:val="20"/>
                <w:vertAlign w:val="superscript"/>
                <w:rtl w:val="0"/>
              </w:rPr>
              <w:t xml:space="preserve">)</w:t>
            </w:r>
            <w:r w:rsidDel="00000000" w:rsidR="00000000" w:rsidRPr="00000000">
              <w:rPr>
                <w:rtl w:val="0"/>
              </w:rPr>
            </w:r>
          </w:p>
        </w:tc>
        <w:tc>
          <w:tcPr/>
          <w:p w:rsidR="00000000" w:rsidDel="00000000" w:rsidP="00000000" w:rsidRDefault="00000000" w:rsidRPr="00000000" w14:paraId="000000CE">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Przeznaczenie terenu</w:t>
            </w:r>
          </w:p>
        </w:tc>
        <w:tc>
          <w:tcPr/>
          <w:p w:rsidR="00000000" w:rsidDel="00000000" w:rsidP="00000000" w:rsidRDefault="00000000" w:rsidRPr="00000000" w14:paraId="000000CF">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Zabudowa usługowa i mieszkaniowa jednorodzinna, </w:t>
            </w:r>
          </w:p>
        </w:tc>
      </w:tr>
      <w:tr>
        <w:trPr>
          <w:cantSplit w:val="0"/>
          <w:trHeight w:val="288" w:hRule="atLeast"/>
          <w:tblHeader w:val="0"/>
        </w:trPr>
        <w:tc>
          <w:tcPr>
            <w:vMerge w:val="continue"/>
            <w:shd w:fill="f3f3f3" w:val="clea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D1">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Maksymalna intensywność zabudowy</w:t>
            </w:r>
          </w:p>
        </w:tc>
        <w:tc>
          <w:tcPr/>
          <w:p w:rsidR="00000000" w:rsidDel="00000000" w:rsidP="00000000" w:rsidRDefault="00000000" w:rsidRPr="00000000" w14:paraId="000000D2">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 (12 UM, 26UM, 31MW)</w:t>
            </w:r>
          </w:p>
          <w:p w:rsidR="00000000" w:rsidDel="00000000" w:rsidP="00000000" w:rsidRDefault="00000000" w:rsidRPr="00000000" w14:paraId="000000D3">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60% (49U)</w:t>
            </w:r>
          </w:p>
        </w:tc>
      </w:tr>
      <w:tr>
        <w:trPr>
          <w:cantSplit w:val="0"/>
          <w:trHeight w:val="288" w:hRule="atLeast"/>
          <w:tblHeader w:val="0"/>
        </w:trPr>
        <w:tc>
          <w:tcPr>
            <w:vMerge w:val="continue"/>
            <w:shd w:fill="f3f3f3" w:val="clea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D5">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Maksymalna i minimalna nadziemna intensywność zabudowy</w:t>
            </w:r>
          </w:p>
        </w:tc>
        <w:tc>
          <w:tcPr/>
          <w:p w:rsidR="00000000" w:rsidDel="00000000" w:rsidP="00000000" w:rsidRDefault="00000000" w:rsidRPr="00000000" w14:paraId="000000D6">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0,01 do 0,40</w:t>
            </w:r>
          </w:p>
        </w:tc>
      </w:tr>
      <w:tr>
        <w:trPr>
          <w:cantSplit w:val="0"/>
          <w:trHeight w:val="288" w:hRule="atLeast"/>
          <w:tblHeader w:val="0"/>
        </w:trPr>
        <w:tc>
          <w:tcPr>
            <w:vMerge w:val="continue"/>
            <w:shd w:fill="f3f3f3" w:val="clea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D8">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Maksymalna powierzchnia zabudowy</w:t>
            </w:r>
          </w:p>
        </w:tc>
        <w:tc>
          <w:tcPr/>
          <w:p w:rsidR="00000000" w:rsidDel="00000000" w:rsidP="00000000" w:rsidRDefault="00000000" w:rsidRPr="00000000" w14:paraId="000000D9">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w:t>
            </w:r>
          </w:p>
        </w:tc>
      </w:tr>
      <w:tr>
        <w:trPr>
          <w:cantSplit w:val="0"/>
          <w:trHeight w:val="288" w:hRule="atLeast"/>
          <w:tblHeader w:val="0"/>
        </w:trPr>
        <w:tc>
          <w:tcPr>
            <w:vMerge w:val="continue"/>
            <w:shd w:fill="f3f3f3" w:val="clea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DB">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Maksymalna wysokość zabudowy</w:t>
            </w:r>
          </w:p>
        </w:tc>
        <w:tc>
          <w:tcPr/>
          <w:p w:rsidR="00000000" w:rsidDel="00000000" w:rsidP="00000000" w:rsidRDefault="00000000" w:rsidRPr="00000000" w14:paraId="000000DC">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- 12m (12UM, 26UM)</w:t>
            </w:r>
          </w:p>
          <w:p w:rsidR="00000000" w:rsidDel="00000000" w:rsidP="00000000" w:rsidRDefault="00000000" w:rsidRPr="00000000" w14:paraId="000000DD">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- 12,5m (49U)</w:t>
            </w:r>
          </w:p>
          <w:p w:rsidR="00000000" w:rsidDel="00000000" w:rsidP="00000000" w:rsidRDefault="00000000" w:rsidRPr="00000000" w14:paraId="000000DE">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-14m (31MW)</w:t>
            </w:r>
          </w:p>
        </w:tc>
      </w:tr>
      <w:tr>
        <w:trPr>
          <w:cantSplit w:val="0"/>
          <w:trHeight w:val="288" w:hRule="atLeast"/>
          <w:tblHeader w:val="0"/>
        </w:trPr>
        <w:tc>
          <w:tcPr>
            <w:vMerge w:val="continue"/>
            <w:shd w:fill="f3f3f3" w:val="clea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E0">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Minimalny udział procentowy powierzchni biologicznie czynnej</w:t>
            </w:r>
          </w:p>
        </w:tc>
        <w:tc>
          <w:tcPr/>
          <w:p w:rsidR="00000000" w:rsidDel="00000000" w:rsidP="00000000" w:rsidRDefault="00000000" w:rsidRPr="00000000" w14:paraId="000000E1">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 mniej niż:</w:t>
            </w:r>
          </w:p>
          <w:p w:rsidR="00000000" w:rsidDel="00000000" w:rsidP="00000000" w:rsidRDefault="00000000" w:rsidRPr="00000000" w14:paraId="000000E2">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- 30% (12UM, 26UM)</w:t>
            </w:r>
          </w:p>
          <w:p w:rsidR="00000000" w:rsidDel="00000000" w:rsidP="00000000" w:rsidRDefault="00000000" w:rsidRPr="00000000" w14:paraId="000000E3">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- 20% (49U)</w:t>
            </w:r>
          </w:p>
          <w:p w:rsidR="00000000" w:rsidDel="00000000" w:rsidP="00000000" w:rsidRDefault="00000000" w:rsidRPr="00000000" w14:paraId="000000E4">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- 25% (31MW)</w:t>
            </w:r>
          </w:p>
        </w:tc>
      </w:tr>
      <w:tr>
        <w:trPr>
          <w:cantSplit w:val="0"/>
          <w:trHeight w:val="288" w:hRule="atLeast"/>
          <w:tblHeader w:val="0"/>
        </w:trPr>
        <w:tc>
          <w:tcPr>
            <w:vMerge w:val="continue"/>
            <w:shd w:fill="f3f3f3" w:val="clea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E6">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Minimalna liczba miejsc do parkowania</w:t>
            </w:r>
          </w:p>
        </w:tc>
        <w:tc>
          <w:tcPr/>
          <w:p w:rsidR="00000000" w:rsidDel="00000000" w:rsidP="00000000" w:rsidRDefault="00000000" w:rsidRPr="00000000" w14:paraId="000000E7">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 stanowisko na 1 mieszkanie (12 UM, 26 UM)</w:t>
            </w:r>
          </w:p>
          <w:p w:rsidR="00000000" w:rsidDel="00000000" w:rsidP="00000000" w:rsidRDefault="00000000" w:rsidRPr="00000000" w14:paraId="000000E8">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Nie mniej niż 1 stanowisko na każde rozpoczęte 100m</w:t>
            </w:r>
            <w:r w:rsidDel="00000000" w:rsidR="00000000" w:rsidRPr="00000000">
              <w:rPr>
                <w:rFonts w:ascii="Times New Roman" w:cs="Times New Roman" w:eastAsia="Times New Roman" w:hAnsi="Times New Roman"/>
                <w:sz w:val="20"/>
                <w:szCs w:val="20"/>
                <w:vertAlign w:val="superscript"/>
                <w:rtl w:val="0"/>
              </w:rPr>
              <w:t xml:space="preserve">2</w:t>
            </w:r>
            <w:r w:rsidDel="00000000" w:rsidR="00000000" w:rsidRPr="00000000">
              <w:rPr>
                <w:rFonts w:ascii="Times New Roman" w:cs="Times New Roman" w:eastAsia="Times New Roman" w:hAnsi="Times New Roman"/>
                <w:sz w:val="20"/>
                <w:szCs w:val="20"/>
                <w:rtl w:val="0"/>
              </w:rPr>
              <w:t xml:space="preserve"> powierzchni użytkowej usług (13U, 26U)</w:t>
            </w:r>
          </w:p>
          <w:p w:rsidR="00000000" w:rsidDel="00000000" w:rsidP="00000000" w:rsidRDefault="00000000" w:rsidRPr="00000000" w14:paraId="000000E9">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- 1,3 stanowiska na 1 mieszkanie, 1 stanowisko na każde rozpoczęte 100m2 powierzchni użytkowej usług (31MW)</w:t>
            </w:r>
          </w:p>
        </w:tc>
      </w:tr>
      <w:tr>
        <w:trPr>
          <w:cantSplit w:val="0"/>
          <w:trHeight w:val="1687" w:hRule="atLeast"/>
          <w:tblHeader w:val="0"/>
        </w:trPr>
        <w:tc>
          <w:tcPr>
            <w:vMerge w:val="restart"/>
            <w:shd w:fill="f3f3f3" w:val="clear"/>
          </w:tcPr>
          <w:p w:rsidR="00000000" w:rsidDel="00000000" w:rsidP="00000000" w:rsidRDefault="00000000" w:rsidRPr="00000000" w14:paraId="000000EA">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Ustalenia decyzji o warunkach zabudowy albo decyzji o ustaleniu lokalizacji inwestycji celu publicznego dla terenu objętego przedsięwzięciem deweloperskim lub zadaniem inwestycyjnym w przypadku braku miejscowego planu zagospodarowania przestrzennego</w:t>
            </w:r>
          </w:p>
          <w:p w:rsidR="00000000" w:rsidDel="00000000" w:rsidP="00000000" w:rsidRDefault="00000000" w:rsidRPr="00000000" w14:paraId="000000EB">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C">
            <w:pPr>
              <w:spacing w:after="144" w:before="144" w:line="240" w:lineRule="auto"/>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ED">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Funkcja zabudowy i zagospodarowania terenu: </w:t>
            </w:r>
          </w:p>
          <w:p w:rsidR="00000000" w:rsidDel="00000000" w:rsidP="00000000" w:rsidRDefault="00000000" w:rsidRPr="00000000" w14:paraId="000000EE">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 dotyczy – dla terenu objętego zadaniem inwestycyjnym nie wydano decyzji o warunkach zabudowy albo decyzji o ustaleniu lokalizacji inwestycji celu publicznego</w:t>
            </w:r>
          </w:p>
        </w:tc>
        <w:tc>
          <w:tcPr/>
          <w:p w:rsidR="00000000" w:rsidDel="00000000" w:rsidP="00000000" w:rsidRDefault="00000000" w:rsidRPr="00000000" w14:paraId="000000EF">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Sposób użytkowania obiektów budowlanych oraz zagospodarowania terenu: </w:t>
            </w:r>
          </w:p>
          <w:p w:rsidR="00000000" w:rsidDel="00000000" w:rsidP="00000000" w:rsidRDefault="00000000" w:rsidRPr="00000000" w14:paraId="000000F0">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 dotyczy – dla terenu objętego zadaniem inwestycyjnym nie wydano decyzji o warunkach zabudowy albo decyzji o ustaleniu lokalizacji inwestycji celu publicznego</w:t>
            </w:r>
          </w:p>
        </w:tc>
      </w:tr>
      <w:tr>
        <w:trPr>
          <w:cantSplit w:val="0"/>
          <w:trHeight w:val="181" w:hRule="atLeast"/>
          <w:tblHeader w:val="0"/>
        </w:trPr>
        <w:tc>
          <w:tcPr>
            <w:vMerge w:val="continue"/>
            <w:shd w:fill="f3f3f3" w:val="clea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2"/>
          </w:tcPr>
          <w:p w:rsidR="00000000" w:rsidDel="00000000" w:rsidP="00000000" w:rsidRDefault="00000000" w:rsidRPr="00000000" w14:paraId="000000F2">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Cechy zabudowy i zagospodarowania terenu:</w:t>
            </w:r>
          </w:p>
        </w:tc>
      </w:tr>
      <w:tr>
        <w:trPr>
          <w:cantSplit w:val="0"/>
          <w:trHeight w:val="181" w:hRule="atLeast"/>
          <w:tblHeader w:val="0"/>
        </w:trPr>
        <w:tc>
          <w:tcPr>
            <w:vMerge w:val="continue"/>
            <w:shd w:fill="f3f3f3" w:val="clea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F5">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gabaryty</w:t>
            </w:r>
          </w:p>
        </w:tc>
        <w:tc>
          <w:tcPr/>
          <w:p w:rsidR="00000000" w:rsidDel="00000000" w:rsidP="00000000" w:rsidRDefault="00000000" w:rsidRPr="00000000" w14:paraId="000000F6">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 dotyczy – dla terenu objętego zadaniem inwestycyjnym nie wydano decyzji o warunkach zabudowy albo decyzji o ustaleniu lokalizacji inwestycji celu publicznego</w:t>
            </w:r>
          </w:p>
        </w:tc>
      </w:tr>
      <w:tr>
        <w:trPr>
          <w:cantSplit w:val="0"/>
          <w:trHeight w:val="181" w:hRule="atLeast"/>
          <w:tblHeader w:val="0"/>
        </w:trPr>
        <w:tc>
          <w:tcPr>
            <w:vMerge w:val="continue"/>
            <w:shd w:fill="f3f3f3" w:val="clea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F8">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forma architektoniczna</w:t>
            </w:r>
          </w:p>
        </w:tc>
        <w:tc>
          <w:tcPr/>
          <w:p w:rsidR="00000000" w:rsidDel="00000000" w:rsidP="00000000" w:rsidRDefault="00000000" w:rsidRPr="00000000" w14:paraId="000000F9">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 dotyczy – dla terenu objętego zadaniem inwestycyjnym nie wydano decyzji o warunkach zabudowy albo decyzji o ustaleniu lokalizacji inwestycji celu publicznego</w:t>
            </w:r>
          </w:p>
        </w:tc>
      </w:tr>
      <w:tr>
        <w:trPr>
          <w:cantSplit w:val="0"/>
          <w:trHeight w:val="181" w:hRule="atLeast"/>
          <w:tblHeader w:val="0"/>
        </w:trPr>
        <w:tc>
          <w:tcPr>
            <w:vMerge w:val="continue"/>
            <w:shd w:fill="f3f3f3" w:val="clea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FB">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usytuowanie linii zabudowy</w:t>
            </w:r>
          </w:p>
        </w:tc>
        <w:tc>
          <w:tcPr/>
          <w:p w:rsidR="00000000" w:rsidDel="00000000" w:rsidP="00000000" w:rsidRDefault="00000000" w:rsidRPr="00000000" w14:paraId="000000FC">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 dotyczy – dla terenu objętego zadaniem inwestycyjnym nie wydano decyzji o warunkach zabudowy albo decyzji o ustaleniu lokalizacji inwestycji celu publicznego</w:t>
            </w:r>
          </w:p>
        </w:tc>
      </w:tr>
      <w:tr>
        <w:trPr>
          <w:cantSplit w:val="0"/>
          <w:trHeight w:val="181" w:hRule="atLeast"/>
          <w:tblHeader w:val="0"/>
        </w:trPr>
        <w:tc>
          <w:tcPr>
            <w:vMerge w:val="continue"/>
            <w:shd w:fill="f3f3f3" w:val="clea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FE">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intensywność wykorzystania terenu</w:t>
            </w:r>
          </w:p>
        </w:tc>
        <w:tc>
          <w:tcPr/>
          <w:p w:rsidR="00000000" w:rsidDel="00000000" w:rsidP="00000000" w:rsidRDefault="00000000" w:rsidRPr="00000000" w14:paraId="000000FF">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 dotyczy – dla terenu objętego zadaniem inwestycyjnym nie wydano decyzji o warunkach zabudowy albo decyzji o ustaleniu lokalizacji inwestycji celu publicznego</w:t>
            </w:r>
          </w:p>
        </w:tc>
      </w:tr>
      <w:tr>
        <w:trPr>
          <w:cantSplit w:val="0"/>
          <w:trHeight w:val="181" w:hRule="atLeast"/>
          <w:tblHeader w:val="0"/>
        </w:trPr>
        <w:tc>
          <w:tcPr>
            <w:vMerge w:val="continue"/>
            <w:shd w:fill="f3f3f3" w:val="clea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01">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warunki ochrony środowiska i zdrowia ludzi, przyrody i krajobrazu</w:t>
            </w:r>
          </w:p>
        </w:tc>
        <w:tc>
          <w:tcPr/>
          <w:p w:rsidR="00000000" w:rsidDel="00000000" w:rsidP="00000000" w:rsidRDefault="00000000" w:rsidRPr="00000000" w14:paraId="00000102">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 dotyczy – dla terenu objętego zadaniem inwestycyjnym nie wydano decyzji o warunkach zabudowy albo decyzji o ustaleniu lokalizacji inwestycji celu publicznego</w:t>
            </w:r>
          </w:p>
        </w:tc>
      </w:tr>
      <w:tr>
        <w:trPr>
          <w:cantSplit w:val="0"/>
          <w:trHeight w:val="181" w:hRule="atLeast"/>
          <w:tblHeader w:val="0"/>
        </w:trPr>
        <w:tc>
          <w:tcPr>
            <w:vMerge w:val="continue"/>
            <w:shd w:fill="f3f3f3" w:val="clea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04">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wymagania dotyczące zabudowy i zagospodarowania terenu położonego na obszarach szczególnego zagrożenia powodzią</w:t>
            </w:r>
          </w:p>
        </w:tc>
        <w:tc>
          <w:tcPr/>
          <w:p w:rsidR="00000000" w:rsidDel="00000000" w:rsidP="00000000" w:rsidRDefault="00000000" w:rsidRPr="00000000" w14:paraId="00000105">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 dotyczy – dla terenu objętego zadaniem inwestycyjnym nie wydano decyzji o warunkach zabudowy albo decyzji o ustaleniu lokalizacji inwestycji celu publicznego</w:t>
            </w:r>
          </w:p>
        </w:tc>
      </w:tr>
      <w:tr>
        <w:trPr>
          <w:cantSplit w:val="0"/>
          <w:trHeight w:val="181" w:hRule="atLeast"/>
          <w:tblHeader w:val="0"/>
        </w:trPr>
        <w:tc>
          <w:tcPr>
            <w:vMerge w:val="continue"/>
            <w:shd w:fill="f3f3f3" w:val="clea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07">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warunki ochrony dziedzictwa kulturowego i zabytków oraz dóbr kultury współczesnej</w:t>
            </w:r>
          </w:p>
        </w:tc>
        <w:tc>
          <w:tcPr/>
          <w:p w:rsidR="00000000" w:rsidDel="00000000" w:rsidP="00000000" w:rsidRDefault="00000000" w:rsidRPr="00000000" w14:paraId="00000108">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 dotyczy – dla terenu objętego zadaniem inwestycyjnym nie wydano decyzji o warunkach zabudowy albo decyzji o ustaleniu lokalizacji inwestycji celu publicznego</w:t>
            </w:r>
          </w:p>
        </w:tc>
      </w:tr>
      <w:tr>
        <w:trPr>
          <w:cantSplit w:val="0"/>
          <w:trHeight w:val="181" w:hRule="atLeast"/>
          <w:tblHeader w:val="0"/>
        </w:trPr>
        <w:tc>
          <w:tcPr>
            <w:vMerge w:val="continue"/>
            <w:shd w:fill="f3f3f3" w:val="clea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0A">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wymagania dotyczące ochrony innych terenów lub obiektów podlegających ochronie na podstawie przepisów odrębnych</w:t>
            </w:r>
          </w:p>
        </w:tc>
        <w:tc>
          <w:tcPr/>
          <w:p w:rsidR="00000000" w:rsidDel="00000000" w:rsidP="00000000" w:rsidRDefault="00000000" w:rsidRPr="00000000" w14:paraId="0000010B">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 dotyczy – dla terenu objętego zadaniem inwestycyjnym nie wydano decyzji o warunkach zabudowy albo decyzji o ustaleniu lokalizacji inwestycji celu publicznego</w:t>
            </w:r>
          </w:p>
        </w:tc>
      </w:tr>
      <w:tr>
        <w:trPr>
          <w:cantSplit w:val="0"/>
          <w:trHeight w:val="181" w:hRule="atLeast"/>
          <w:tblHeader w:val="0"/>
        </w:trPr>
        <w:tc>
          <w:tcPr>
            <w:vMerge w:val="continue"/>
            <w:shd w:fill="f3f3f3" w:val="clea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0D">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warunki i szczegółowe zasady obsługi w zakresie komunikacji</w:t>
            </w:r>
          </w:p>
        </w:tc>
        <w:tc>
          <w:tcPr/>
          <w:p w:rsidR="00000000" w:rsidDel="00000000" w:rsidP="00000000" w:rsidRDefault="00000000" w:rsidRPr="00000000" w14:paraId="0000010E">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 dotyczy – dla terenu objętego zadaniem inwestycyjnym nie wydano decyzji o warunkach zabudowy albo decyzji o ustaleniu lokalizacji inwestycji celu publicznego</w:t>
            </w:r>
          </w:p>
        </w:tc>
      </w:tr>
      <w:tr>
        <w:trPr>
          <w:cantSplit w:val="0"/>
          <w:trHeight w:val="181" w:hRule="atLeast"/>
          <w:tblHeader w:val="0"/>
        </w:trPr>
        <w:tc>
          <w:tcPr>
            <w:vMerge w:val="continue"/>
            <w:shd w:fill="f3f3f3" w:val="clea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10">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warunki i szczegółowe zasady obsługi w zakresie infrastruktury technicznej</w:t>
            </w:r>
          </w:p>
        </w:tc>
        <w:tc>
          <w:tcPr/>
          <w:p w:rsidR="00000000" w:rsidDel="00000000" w:rsidP="00000000" w:rsidRDefault="00000000" w:rsidRPr="00000000" w14:paraId="00000111">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 dotyczy – dla terenu objętego zadaniem inwestycyjnym nie wydano decyzji o warunkach zabudowy albo decyzji o ustaleniu lokalizacji inwestycji celu publicznego</w:t>
            </w:r>
          </w:p>
        </w:tc>
      </w:tr>
      <w:tr>
        <w:trPr>
          <w:cantSplit w:val="0"/>
          <w:trHeight w:val="181" w:hRule="atLeast"/>
          <w:tblHeader w:val="0"/>
        </w:trPr>
        <w:tc>
          <w:tcPr>
            <w:shd w:fill="f3f3f3" w:val="clear"/>
          </w:tcPr>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13">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minimalny udział procentowy powierzchni biologicznie czynnej</w:t>
            </w:r>
          </w:p>
        </w:tc>
        <w:tc>
          <w:tcPr/>
          <w:p w:rsidR="00000000" w:rsidDel="00000000" w:rsidP="00000000" w:rsidRDefault="00000000" w:rsidRPr="00000000" w14:paraId="00000114">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 dotyczy – dla terenu objętego zadaniem inwestycyjnym nie wydano decyzji o warunkach zabudowy albo decyzji o ustaleniu lokalizacji inwestycji celu publicznego</w:t>
            </w:r>
          </w:p>
        </w:tc>
      </w:tr>
      <w:tr>
        <w:trPr>
          <w:cantSplit w:val="0"/>
          <w:trHeight w:val="181" w:hRule="atLeast"/>
          <w:tblHeader w:val="0"/>
        </w:trPr>
        <w:tc>
          <w:tcPr>
            <w:shd w:fill="f3f3f3" w:val="clear"/>
          </w:tcPr>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16">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nadziemna intensywność zabudowy</w:t>
            </w:r>
          </w:p>
        </w:tc>
        <w:tc>
          <w:tcPr/>
          <w:p w:rsidR="00000000" w:rsidDel="00000000" w:rsidP="00000000" w:rsidRDefault="00000000" w:rsidRPr="00000000" w14:paraId="00000117">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 dotyczy – dla terenu objętego zadaniem inwestycyjnym nie wydano decyzji o warunkach zabudowy albo decyzji o ustaleniu lokalizacji inwestycji celu publicznego</w:t>
            </w:r>
          </w:p>
        </w:tc>
      </w:tr>
      <w:tr>
        <w:trPr>
          <w:cantSplit w:val="0"/>
          <w:trHeight w:val="181" w:hRule="atLeast"/>
          <w:tblHeader w:val="0"/>
        </w:trPr>
        <w:tc>
          <w:tcPr>
            <w:shd w:fill="f3f3f3" w:val="clear"/>
          </w:tcPr>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19">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wysokość zabudowy</w:t>
            </w:r>
          </w:p>
        </w:tc>
        <w:tc>
          <w:tcPr/>
          <w:p w:rsidR="00000000" w:rsidDel="00000000" w:rsidP="00000000" w:rsidRDefault="00000000" w:rsidRPr="00000000" w14:paraId="0000011A">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 dotyczy – dla terenu objętego zadaniem inwestycyjnym nie wydano decyzji o warunkach zabudowy albo decyzji o ustaleniu lokalizacji inwestycji celu publicznego</w:t>
            </w:r>
          </w:p>
        </w:tc>
      </w:tr>
      <w:tr>
        <w:trPr>
          <w:cantSplit w:val="0"/>
          <w:trHeight w:val="1119" w:hRule="atLeast"/>
          <w:tblHeader w:val="0"/>
        </w:trPr>
        <w:tc>
          <w:tcPr>
            <w:vMerge w:val="restart"/>
            <w:shd w:fill="f3f3f3" w:val="clear"/>
          </w:tcPr>
          <w:p w:rsidR="00000000" w:rsidDel="00000000" w:rsidP="00000000" w:rsidRDefault="00000000" w:rsidRPr="00000000" w14:paraId="0000011B">
            <w:pPr>
              <w:spacing w:after="144" w:before="144"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Informacje dotyczące przewidzianych inwestycji w promieniu 1 km od przedmiotowej nieruchomości</w:t>
            </w:r>
            <w:r w:rsidDel="00000000" w:rsidR="00000000" w:rsidRPr="00000000">
              <w:rPr>
                <w:rFonts w:ascii="Times New Roman" w:cs="Times New Roman" w:eastAsia="Times New Roman" w:hAnsi="Times New Roman"/>
                <w:sz w:val="20"/>
                <w:szCs w:val="20"/>
                <w:vertAlign w:val="superscript"/>
              </w:rPr>
              <w:footnoteReference w:customMarkFollows="0" w:id="5"/>
            </w:r>
            <w:r w:rsidDel="00000000" w:rsidR="00000000" w:rsidRPr="00000000">
              <w:rPr>
                <w:rFonts w:ascii="Times New Roman" w:cs="Times New Roman" w:eastAsia="Times New Roman" w:hAnsi="Times New Roman"/>
                <w:sz w:val="20"/>
                <w:szCs w:val="20"/>
                <w:vertAlign w:val="superscript"/>
                <w:rtl w:val="0"/>
              </w:rPr>
              <w:t xml:space="preserve">)</w:t>
            </w:r>
            <w:r w:rsidDel="00000000" w:rsidR="00000000" w:rsidRPr="00000000">
              <w:rPr>
                <w:rFonts w:ascii="Times New Roman" w:cs="Times New Roman" w:eastAsia="Times New Roman" w:hAnsi="Times New Roman"/>
                <w:sz w:val="20"/>
                <w:szCs w:val="20"/>
                <w:rtl w:val="0"/>
              </w:rPr>
              <w:t xml:space="preserve">, zawarte w:</w:t>
            </w:r>
          </w:p>
          <w:p w:rsidR="00000000" w:rsidDel="00000000" w:rsidP="00000000" w:rsidRDefault="00000000" w:rsidRPr="00000000" w14:paraId="0000011C">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1D">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miejscowych planach zagospodarowania przestrzennego</w:t>
            </w:r>
          </w:p>
        </w:tc>
        <w:tc>
          <w:tcPr/>
          <w:p w:rsidR="00000000" w:rsidDel="00000000" w:rsidP="00000000" w:rsidRDefault="00000000" w:rsidRPr="00000000" w14:paraId="0000011E">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 promieniu 1 km od terenu objętego zadaniem inwestycyjnym nie planuje się inwestycji zawartych w miejscowych planach zagospodarowania przestrzennego</w:t>
            </w:r>
          </w:p>
        </w:tc>
      </w:tr>
      <w:tr>
        <w:trPr>
          <w:cantSplit w:val="0"/>
          <w:trHeight w:val="994" w:hRule="atLeast"/>
          <w:tblHeader w:val="0"/>
        </w:trPr>
        <w:tc>
          <w:tcPr>
            <w:vMerge w:val="continue"/>
            <w:shd w:fill="f3f3f3" w:val="clea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20">
            <w:pPr>
              <w:widowControl w:val="0"/>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decyzjach o warunkach zabudowy i zagospodarowania terenu</w:t>
            </w:r>
          </w:p>
        </w:tc>
        <w:tc>
          <w:tcPr/>
          <w:p w:rsidR="00000000" w:rsidDel="00000000" w:rsidP="00000000" w:rsidRDefault="00000000" w:rsidRPr="00000000" w14:paraId="00000121">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 promieniu 1 km od terenu objętego zadaniem inwestycyjnym nie planuje się inwestycji zawartych w decyzjach o warunkach zabudowy i zagospodarowania terenu </w:t>
            </w:r>
          </w:p>
        </w:tc>
      </w:tr>
      <w:tr>
        <w:trPr>
          <w:cantSplit w:val="0"/>
          <w:trHeight w:val="71" w:hRule="atLeast"/>
          <w:tblHeader w:val="0"/>
        </w:trPr>
        <w:tc>
          <w:tcPr>
            <w:vMerge w:val="continue"/>
            <w:shd w:fill="f3f3f3" w:val="clea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23">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decyzjach o środowiskowych uwarunkowaniach</w:t>
            </w:r>
          </w:p>
        </w:tc>
        <w:tc>
          <w:tcPr/>
          <w:p w:rsidR="00000000" w:rsidDel="00000000" w:rsidP="00000000" w:rsidRDefault="00000000" w:rsidRPr="00000000" w14:paraId="00000124">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Wydano decyzję o środowiskowych uwarunkowaniach m.in. dla planowanej budowy lokalnych dróg dojazdowych. Przykładowo, decyzja środowiskowa została wydana dla przedsięwzięcia „Decyzja o środowiskowych uwarunkowaniach dla inwestycji pn. „Budowa dróg gminnych – ulicy Willowej i Diamentowej na dojazdach do ulicy Żbikowskiej – DW701 oraz drogi gminnej – ulicy Batalionu „Parasol” w Pruszkowie” Oznacza to, że przedsięwzięcia drogowe w rejonie ul. Żbikowskiej uzyskały wymagane decyzje środowiskowe.</w:t>
            </w:r>
          </w:p>
          <w:p w:rsidR="00000000" w:rsidDel="00000000" w:rsidP="00000000" w:rsidRDefault="00000000" w:rsidRPr="00000000" w14:paraId="00000125">
            <w:pPr>
              <w:spacing w:after="144" w:before="144" w:line="240" w:lineRule="auto"/>
              <w:jc w:val="both"/>
              <w:rPr>
                <w:rFonts w:ascii="Times New Roman" w:cs="Times New Roman" w:eastAsia="Times New Roman" w:hAnsi="Times New Roman"/>
                <w:sz w:val="20"/>
                <w:szCs w:val="20"/>
              </w:rPr>
            </w:pPr>
            <w:hyperlink r:id="rId8">
              <w:r w:rsidDel="00000000" w:rsidR="00000000" w:rsidRPr="00000000">
                <w:rPr>
                  <w:rFonts w:ascii="Times New Roman" w:cs="Times New Roman" w:eastAsia="Times New Roman" w:hAnsi="Times New Roman"/>
                  <w:color w:val="0563c1"/>
                  <w:sz w:val="20"/>
                  <w:szCs w:val="20"/>
                  <w:u w:val="single"/>
                  <w:rtl w:val="0"/>
                </w:rPr>
                <w:t xml:space="preserve">https://bip.um.pruszkow.pl/karta-informacyjna-sios/7198/karta-nr-127-2023</w:t>
              </w:r>
            </w:hyperlink>
            <w:r w:rsidDel="00000000" w:rsidR="00000000" w:rsidRPr="00000000">
              <w:rPr>
                <w:rtl w:val="0"/>
              </w:rPr>
            </w:r>
          </w:p>
          <w:p w:rsidR="00000000" w:rsidDel="00000000" w:rsidP="00000000" w:rsidRDefault="00000000" w:rsidRPr="00000000" w14:paraId="00000126">
            <w:pPr>
              <w:spacing w:after="144" w:before="144" w:line="240" w:lineRule="auto"/>
              <w:jc w:val="both"/>
              <w:rPr>
                <w:rFonts w:ascii="Times New Roman" w:cs="Times New Roman" w:eastAsia="Times New Roman" w:hAnsi="Times New Roman"/>
                <w:sz w:val="20"/>
                <w:szCs w:val="20"/>
              </w:rPr>
            </w:pPr>
            <w:hyperlink r:id="rId9">
              <w:r w:rsidDel="00000000" w:rsidR="00000000" w:rsidRPr="00000000">
                <w:rPr>
                  <w:rFonts w:ascii="Times New Roman" w:cs="Times New Roman" w:eastAsia="Times New Roman" w:hAnsi="Times New Roman"/>
                  <w:color w:val="0563c1"/>
                  <w:sz w:val="20"/>
                  <w:szCs w:val="20"/>
                  <w:u w:val="single"/>
                  <w:rtl w:val="0"/>
                </w:rPr>
                <w:t xml:space="preserve">https://bip.um.pruszkow.pl/karta-informacyjna-sios/6675/karta-nr-51-2023</w:t>
              </w:r>
            </w:hyperlink>
            <w:r w:rsidDel="00000000" w:rsidR="00000000" w:rsidRPr="00000000">
              <w:rPr>
                <w:rtl w:val="0"/>
              </w:rPr>
            </w:r>
          </w:p>
        </w:tc>
      </w:tr>
      <w:tr>
        <w:trPr>
          <w:cantSplit w:val="0"/>
          <w:trHeight w:val="71" w:hRule="atLeast"/>
          <w:tblHeader w:val="0"/>
        </w:trPr>
        <w:tc>
          <w:tcPr>
            <w:vMerge w:val="continue"/>
            <w:shd w:fill="f3f3f3" w:val="clea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28">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uchwałach o obszarach ograniczonego użytkowania</w:t>
            </w:r>
          </w:p>
        </w:tc>
        <w:tc>
          <w:tcPr/>
          <w:p w:rsidR="00000000" w:rsidDel="00000000" w:rsidP="00000000" w:rsidRDefault="00000000" w:rsidRPr="00000000" w14:paraId="00000129">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 promieniu 1 km od terenu objętego zadaniem inwestycyjnym nie planuje się inwestycji zawartych w uchwałach o obszarach ograniczonego użytkowania </w:t>
            </w:r>
          </w:p>
        </w:tc>
      </w:tr>
      <w:tr>
        <w:trPr>
          <w:cantSplit w:val="0"/>
          <w:trHeight w:val="71" w:hRule="atLeast"/>
          <w:tblHeader w:val="0"/>
        </w:trPr>
        <w:tc>
          <w:tcPr>
            <w:vMerge w:val="continue"/>
            <w:shd w:fill="f3f3f3" w:val="clea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2B">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miejscowych planach odbudowy</w:t>
            </w:r>
          </w:p>
        </w:tc>
        <w:tc>
          <w:tcPr/>
          <w:p w:rsidR="00000000" w:rsidDel="00000000" w:rsidP="00000000" w:rsidRDefault="00000000" w:rsidRPr="00000000" w14:paraId="0000012C">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 promieniu 1 km od terenu objętego zadaniem inwestycyjnym nie planuje się inwestycji zawartych w miejscowych planach odbudowy </w:t>
            </w:r>
          </w:p>
        </w:tc>
      </w:tr>
      <w:tr>
        <w:trPr>
          <w:cantSplit w:val="0"/>
          <w:trHeight w:val="71" w:hRule="atLeast"/>
          <w:tblHeader w:val="0"/>
        </w:trPr>
        <w:tc>
          <w:tcPr>
            <w:vMerge w:val="continue"/>
            <w:shd w:fill="f3f3f3" w:val="clea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2E">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mapach zagrożenia powodziowego i mapach ryzyka powodziowego</w:t>
            </w:r>
          </w:p>
        </w:tc>
        <w:tc>
          <w:tcPr/>
          <w:p w:rsidR="00000000" w:rsidDel="00000000" w:rsidP="00000000" w:rsidRDefault="00000000" w:rsidRPr="00000000" w14:paraId="0000012F">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Zgodnie z mapami zagrożenia powodziowego północno-zachodnia część rejonu Żbikowa znajduje się w strefie zagrożenia powodzią (zalewowe tereny rzeki Utraty i potoku Żbikówka)</w:t>
            </w:r>
          </w:p>
        </w:tc>
      </w:tr>
      <w:tr>
        <w:trPr>
          <w:cantSplit w:val="0"/>
          <w:trHeight w:val="71" w:hRule="atLeast"/>
          <w:tblHeader w:val="0"/>
        </w:trPr>
        <w:tc>
          <w:tcPr>
            <w:vMerge w:val="continue"/>
            <w:shd w:fill="f3f3f3" w:val="clear"/>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2"/>
          </w:tcPr>
          <w:p w:rsidR="00000000" w:rsidDel="00000000" w:rsidP="00000000" w:rsidRDefault="00000000" w:rsidRPr="00000000" w14:paraId="00000131">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Ustalenia decyzji w zakresie rozmieszczenia inwestycji celu publicznego, mogące mieć znaczenie dla terenu objętego przedsięwzięciem deweloperskim lub zadaniem inwestycyjnym:</w:t>
            </w:r>
          </w:p>
          <w:p w:rsidR="00000000" w:rsidDel="00000000" w:rsidP="00000000" w:rsidRDefault="00000000" w:rsidRPr="00000000" w14:paraId="00000132">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84" w:hRule="atLeast"/>
          <w:tblHeader w:val="0"/>
        </w:trPr>
        <w:tc>
          <w:tcPr>
            <w:vMerge w:val="continue"/>
            <w:shd w:fill="f3f3f3" w:val="clea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5">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decyzja o zezwoleniu na realizację inwestycji drogowej</w:t>
            </w:r>
          </w:p>
        </w:tc>
        <w:tc>
          <w:tcPr/>
          <w:p w:rsidR="00000000" w:rsidDel="00000000" w:rsidP="00000000" w:rsidRDefault="00000000" w:rsidRPr="00000000" w14:paraId="00000136">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Toczy się postępowanie administracyjne w sprawie ZRID dla planowanej budowy dróg gminnych w rejonie Żbikowa. Starosta Pruszkowski wydał obwieszczenie o wszczęciu postępowania dotyczącego budowy dróg gminnych (oznaczonych jako 15KDL1/2 i 25KDD1/2) w Pruszkowie, w trybie specustawy drogowej. Oznacza to, że inwestycja drogowa w okolicy ul. Żbikowskiej uzyskuje decyzję ZRID.</w:t>
            </w:r>
          </w:p>
          <w:p w:rsidR="00000000" w:rsidDel="00000000" w:rsidP="00000000" w:rsidRDefault="00000000" w:rsidRPr="00000000" w14:paraId="00000137">
            <w:pPr>
              <w:spacing w:after="144" w:before="144" w:line="240" w:lineRule="auto"/>
              <w:jc w:val="both"/>
              <w:rPr>
                <w:rFonts w:ascii="Times New Roman" w:cs="Times New Roman" w:eastAsia="Times New Roman" w:hAnsi="Times New Roman"/>
                <w:sz w:val="20"/>
                <w:szCs w:val="20"/>
              </w:rPr>
            </w:pPr>
            <w:hyperlink r:id="rId10">
              <w:r w:rsidDel="00000000" w:rsidR="00000000" w:rsidRPr="00000000">
                <w:rPr>
                  <w:rFonts w:ascii="Times New Roman" w:cs="Times New Roman" w:eastAsia="Times New Roman" w:hAnsi="Times New Roman"/>
                  <w:color w:val="0563c1"/>
                  <w:sz w:val="20"/>
                  <w:szCs w:val="20"/>
                  <w:u w:val="single"/>
                  <w:rtl w:val="0"/>
                </w:rPr>
                <w:t xml:space="preserve">https://bip.powiat.pruszkow.pl/dokument_druk.php?iddok=13106&amp;idmp=245&amp;r=</w:t>
              </w:r>
            </w:hyperlink>
            <w:r w:rsidDel="00000000" w:rsidR="00000000" w:rsidRPr="00000000">
              <w:rPr>
                <w:rFonts w:ascii="Times New Roman" w:cs="Times New Roman" w:eastAsia="Times New Roman" w:hAnsi="Times New Roman"/>
                <w:sz w:val="20"/>
                <w:szCs w:val="20"/>
                <w:rtl w:val="0"/>
              </w:rPr>
              <w:t xml:space="preserve"> </w:t>
            </w:r>
          </w:p>
        </w:tc>
      </w:tr>
      <w:tr>
        <w:trPr>
          <w:cantSplit w:val="0"/>
          <w:trHeight w:val="81" w:hRule="atLeast"/>
          <w:tblHeader w:val="0"/>
        </w:trPr>
        <w:tc>
          <w:tcPr>
            <w:vMerge w:val="continue"/>
            <w:shd w:fill="f3f3f3" w:val="clea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9">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decyzja o ustaleniu lokalizacji linii kolejowej</w:t>
            </w:r>
          </w:p>
        </w:tc>
        <w:tc>
          <w:tcPr/>
          <w:p w:rsidR="00000000" w:rsidDel="00000000" w:rsidP="00000000" w:rsidRDefault="00000000" w:rsidRPr="00000000" w14:paraId="0000013A">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 promieniu 1 km od terenu objętego zadaniem inwestycyjnym nie wydano decyzji o ustaleniu lokalizacji linii kolejowej </w:t>
            </w:r>
          </w:p>
        </w:tc>
      </w:tr>
      <w:tr>
        <w:trPr>
          <w:cantSplit w:val="0"/>
          <w:trHeight w:val="81" w:hRule="atLeast"/>
          <w:tblHeader w:val="0"/>
        </w:trPr>
        <w:tc>
          <w:tcPr>
            <w:vMerge w:val="continue"/>
            <w:shd w:fill="f3f3f3" w:val="clea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C">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decyzja o zezwoleniu na realizację inwestycji w zakresie lotniska użytku publicznego</w:t>
            </w:r>
          </w:p>
        </w:tc>
        <w:tc>
          <w:tcPr/>
          <w:p w:rsidR="00000000" w:rsidDel="00000000" w:rsidP="00000000" w:rsidRDefault="00000000" w:rsidRPr="00000000" w14:paraId="0000013D">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 promieniu 1 km od terenu objętego zadaniem inwestycyjnym nie wydano decyzji o zezwoleniu na realizację inwestycji w zakresie lotniska użytku publicznego </w:t>
            </w:r>
          </w:p>
        </w:tc>
      </w:tr>
      <w:tr>
        <w:trPr>
          <w:cantSplit w:val="0"/>
          <w:trHeight w:val="81" w:hRule="atLeast"/>
          <w:tblHeader w:val="0"/>
        </w:trPr>
        <w:tc>
          <w:tcPr>
            <w:vMerge w:val="continue"/>
            <w:shd w:fill="f3f3f3" w:val="clea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F">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decyzja o pozwoleniu na realizację inwestycji w zakresie budowli przeciwpowodziowych</w:t>
            </w:r>
          </w:p>
        </w:tc>
        <w:tc>
          <w:tcPr/>
          <w:p w:rsidR="00000000" w:rsidDel="00000000" w:rsidP="00000000" w:rsidRDefault="00000000" w:rsidRPr="00000000" w14:paraId="00000140">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 promieniu 1 km od terenu objętego zadaniem inwestycyjnym nie wydano decyzji o pozwoleniu na realizację inwestycji w zakresie budowli przeciwpowodziowych </w:t>
            </w:r>
          </w:p>
        </w:tc>
      </w:tr>
      <w:tr>
        <w:trPr>
          <w:cantSplit w:val="0"/>
          <w:trHeight w:val="81" w:hRule="atLeast"/>
          <w:tblHeader w:val="0"/>
        </w:trPr>
        <w:tc>
          <w:tcPr>
            <w:vMerge w:val="continue"/>
            <w:shd w:fill="f3f3f3" w:val="clea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42">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decyzja o ustaleniu lokalizacji inwestycji w zakresie budowy obiektu energetyki jądrowej</w:t>
            </w:r>
          </w:p>
        </w:tc>
        <w:tc>
          <w:tcPr/>
          <w:p w:rsidR="00000000" w:rsidDel="00000000" w:rsidP="00000000" w:rsidRDefault="00000000" w:rsidRPr="00000000" w14:paraId="00000143">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 promieniu 1 km od terenu objętego zadaniem inwestycyjnym nie wydano decyzji o ustaleniu lokalizacji inwestycji w zakresie budowy obiektu energetyki jądrowej </w:t>
            </w:r>
          </w:p>
        </w:tc>
      </w:tr>
      <w:tr>
        <w:trPr>
          <w:cantSplit w:val="0"/>
          <w:trHeight w:val="81" w:hRule="atLeast"/>
          <w:tblHeader w:val="0"/>
        </w:trPr>
        <w:tc>
          <w:tcPr>
            <w:vMerge w:val="continue"/>
            <w:shd w:fill="f3f3f3" w:val="clea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45">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decyzja o ustaleniu lokalizacji strategicznej inwestycji w zakresie sieci przesyłowej</w:t>
            </w:r>
          </w:p>
        </w:tc>
        <w:tc>
          <w:tcPr/>
          <w:p w:rsidR="00000000" w:rsidDel="00000000" w:rsidP="00000000" w:rsidRDefault="00000000" w:rsidRPr="00000000" w14:paraId="00000146">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 promieniu 1 km od terenu objętego zadaniem inwestycyjnym nie wydano decyzji o ustaleniu lokalizacji strategicznej inwestycji w zakresie sieci przesyłowej </w:t>
            </w:r>
          </w:p>
        </w:tc>
      </w:tr>
      <w:tr>
        <w:trPr>
          <w:cantSplit w:val="0"/>
          <w:trHeight w:val="81" w:hRule="atLeast"/>
          <w:tblHeader w:val="0"/>
        </w:trPr>
        <w:tc>
          <w:tcPr>
            <w:vMerge w:val="continue"/>
            <w:shd w:fill="f3f3f3" w:val="clea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48">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decyzja o ustaleniu lokalizacji regionalnej sieci szerokopasmowej</w:t>
            </w:r>
          </w:p>
        </w:tc>
        <w:tc>
          <w:tcPr/>
          <w:p w:rsidR="00000000" w:rsidDel="00000000" w:rsidP="00000000" w:rsidRDefault="00000000" w:rsidRPr="00000000" w14:paraId="00000149">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 promieniu 1 km od terenu objętego zadaniem inwestycyjnym nie wydano decyzji o ustaleniu lokalizacji regionalnej sieci szerokopasmowej </w:t>
            </w:r>
          </w:p>
        </w:tc>
      </w:tr>
      <w:tr>
        <w:trPr>
          <w:cantSplit w:val="0"/>
          <w:trHeight w:val="81" w:hRule="atLeast"/>
          <w:tblHeader w:val="0"/>
        </w:trPr>
        <w:tc>
          <w:tcPr>
            <w:vMerge w:val="continue"/>
            <w:shd w:fill="f3f3f3" w:val="clea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4B">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decyzja o ustaleniu lokalizacji inwestycji w zakresie Centralnego Portu Komunikacyjnego </w:t>
            </w:r>
          </w:p>
        </w:tc>
        <w:tc>
          <w:tcPr/>
          <w:p w:rsidR="00000000" w:rsidDel="00000000" w:rsidP="00000000" w:rsidRDefault="00000000" w:rsidRPr="00000000" w14:paraId="0000014C">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 promieniu 1 km od terenu objętego zadaniem inwestycyjnym nie wydano decyzji o ustaleniu lokalizacji inwestycji w zakresie Centralnego Portu Komunikacyjnego </w:t>
            </w:r>
          </w:p>
        </w:tc>
      </w:tr>
      <w:tr>
        <w:trPr>
          <w:cantSplit w:val="0"/>
          <w:trHeight w:val="81" w:hRule="atLeast"/>
          <w:tblHeader w:val="0"/>
        </w:trPr>
        <w:tc>
          <w:tcPr>
            <w:vMerge w:val="continue"/>
            <w:shd w:fill="f3f3f3" w:val="clea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4E">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decyzja o zezwoleniu na realizację inwestycji w zakresie infrastruktury dostępowej</w:t>
            </w:r>
          </w:p>
        </w:tc>
        <w:tc>
          <w:tcPr/>
          <w:p w:rsidR="00000000" w:rsidDel="00000000" w:rsidP="00000000" w:rsidRDefault="00000000" w:rsidRPr="00000000" w14:paraId="0000014F">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 promieniu 1 km od terenu objętego zadaniem inwestycyjnym nie wydano decyzji o zezwoleniu na realizację inwestycji w zakresie infrastruktury dostępowej </w:t>
            </w:r>
          </w:p>
        </w:tc>
      </w:tr>
      <w:tr>
        <w:trPr>
          <w:cantSplit w:val="0"/>
          <w:trHeight w:val="81" w:hRule="atLeast"/>
          <w:tblHeader w:val="0"/>
        </w:trPr>
        <w:tc>
          <w:tcPr>
            <w:vMerge w:val="continue"/>
            <w:shd w:fill="f3f3f3" w:val="clea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51">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decyzja o ustaleniu lokalizacji strategicznej inwestycji w sektorze naftowym</w:t>
            </w:r>
          </w:p>
        </w:tc>
        <w:tc>
          <w:tcPr/>
          <w:p w:rsidR="00000000" w:rsidDel="00000000" w:rsidP="00000000" w:rsidRDefault="00000000" w:rsidRPr="00000000" w14:paraId="00000152">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 promieniu 1 km od terenu objętego zadaniem inwestycyjnym nie wydano decyzji o ustaleniu lokalizacji strategicznej inwestycji w sektorze naftowym </w:t>
            </w:r>
          </w:p>
        </w:tc>
      </w:tr>
      <w:tr>
        <w:trPr>
          <w:cantSplit w:val="0"/>
          <w:trHeight w:val="390" w:hRule="atLeast"/>
          <w:tblHeader w:val="0"/>
        </w:trPr>
        <w:tc>
          <w:tcPr>
            <w:gridSpan w:val="3"/>
            <w:shd w:fill="d9d9d9" w:val="clear"/>
          </w:tcPr>
          <w:p w:rsidR="00000000" w:rsidDel="00000000" w:rsidP="00000000" w:rsidRDefault="00000000" w:rsidRPr="00000000" w14:paraId="00000153">
            <w:pPr>
              <w:spacing w:after="144" w:before="144"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INFORMACJE DOTYCZĄCE BUDYNKU</w:t>
            </w:r>
          </w:p>
          <w:p w:rsidR="00000000" w:rsidDel="00000000" w:rsidP="00000000" w:rsidRDefault="00000000" w:rsidRPr="00000000" w14:paraId="00000154">
            <w:pPr>
              <w:spacing w:after="144" w:before="144" w:line="240" w:lineRule="auto"/>
              <w:jc w:val="both"/>
              <w:rPr>
                <w:rFonts w:ascii="Times New Roman" w:cs="Times New Roman" w:eastAsia="Times New Roman" w:hAnsi="Times New Roman"/>
                <w:sz w:val="20"/>
                <w:szCs w:val="20"/>
              </w:rPr>
            </w:pPr>
            <w:r w:rsidDel="00000000" w:rsidR="00000000" w:rsidRPr="00000000">
              <w:rPr>
                <w:rtl w:val="0"/>
              </w:rPr>
            </w:r>
          </w:p>
        </w:tc>
      </w:tr>
      <w:tr>
        <w:trPr>
          <w:cantSplit w:val="0"/>
          <w:trHeight w:val="390" w:hRule="atLeast"/>
          <w:tblHeader w:val="0"/>
        </w:trPr>
        <w:tc>
          <w:tcPr>
            <w:shd w:fill="f3f3f3" w:val="clear"/>
          </w:tcPr>
          <w:p w:rsidR="00000000" w:rsidDel="00000000" w:rsidP="00000000" w:rsidRDefault="00000000" w:rsidRPr="00000000" w14:paraId="00000157">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Czy jest pozwolenie na budowę</w:t>
              <w:br w:type="textWrapping"/>
            </w:r>
          </w:p>
        </w:tc>
        <w:tc>
          <w:tcPr>
            <w:vAlign w:val="center"/>
          </w:tcPr>
          <w:p w:rsidR="00000000" w:rsidDel="00000000" w:rsidP="00000000" w:rsidRDefault="00000000" w:rsidRPr="00000000" w14:paraId="00000158">
            <w:pPr>
              <w:spacing w:after="144" w:before="144"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tak</w:t>
            </w:r>
            <w:r w:rsidDel="00000000" w:rsidR="00000000" w:rsidRPr="00000000">
              <w:rPr>
                <w:rFonts w:ascii="Times New Roman" w:cs="Times New Roman" w:eastAsia="Times New Roman" w:hAnsi="Times New Roman"/>
                <w:b w:val="1"/>
                <w:bCs w:val="1"/>
                <w:sz w:val="20"/>
                <w:szCs w:val="20"/>
                <w:vertAlign w:val="superscript"/>
              </w:rPr>
              <w:footnoteReference w:customMarkFollows="0" w:id="6"/>
            </w:r>
            <w:r w:rsidDel="00000000" w:rsidR="00000000" w:rsidRPr="00000000">
              <w:rPr>
                <w:rFonts w:ascii="Times New Roman" w:cs="Times New Roman" w:eastAsia="Times New Roman" w:hAnsi="Times New Roman"/>
                <w:b w:val="1"/>
                <w:bCs w:val="1"/>
                <w:sz w:val="20"/>
                <w:szCs w:val="20"/>
                <w:vertAlign w:val="superscript"/>
                <w:rtl w:val="0"/>
              </w:rPr>
              <w:t xml:space="preserve">)</w:t>
            </w:r>
            <w:r w:rsidDel="00000000" w:rsidR="00000000" w:rsidRPr="00000000">
              <w:rPr>
                <w:rtl w:val="0"/>
              </w:rPr>
            </w:r>
          </w:p>
        </w:tc>
        <w:tc>
          <w:tcPr>
            <w:vAlign w:val="center"/>
          </w:tcPr>
          <w:p w:rsidR="00000000" w:rsidDel="00000000" w:rsidP="00000000" w:rsidRDefault="00000000" w:rsidRPr="00000000" w14:paraId="00000159">
            <w:pPr>
              <w:spacing w:after="144" w:before="144" w:line="240" w:lineRule="auto"/>
              <w:jc w:val="center"/>
              <w:rPr>
                <w:rFonts w:ascii="Times New Roman" w:cs="Times New Roman" w:eastAsia="Times New Roman" w:hAnsi="Times New Roman"/>
                <w:strike w:val="1"/>
                <w:sz w:val="20"/>
                <w:szCs w:val="20"/>
              </w:rPr>
            </w:pPr>
            <w:r w:rsidDel="00000000" w:rsidR="00000000" w:rsidRPr="00000000">
              <w:rPr>
                <w:rFonts w:ascii="Times New Roman" w:cs="Times New Roman" w:eastAsia="Times New Roman" w:hAnsi="Times New Roman"/>
                <w:strike w:val="1"/>
                <w:sz w:val="20"/>
                <w:szCs w:val="20"/>
                <w:rtl w:val="0"/>
              </w:rPr>
              <w:t xml:space="preserve">nie*</w:t>
            </w:r>
          </w:p>
        </w:tc>
      </w:tr>
      <w:tr>
        <w:trPr>
          <w:cantSplit w:val="0"/>
          <w:trHeight w:val="390" w:hRule="atLeast"/>
          <w:tblHeader w:val="0"/>
        </w:trPr>
        <w:tc>
          <w:tcPr>
            <w:shd w:fill="f3f3f3" w:val="clear"/>
          </w:tcPr>
          <w:p w:rsidR="00000000" w:rsidDel="00000000" w:rsidP="00000000" w:rsidRDefault="00000000" w:rsidRPr="00000000" w14:paraId="0000015A">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Czy pozwolenie na budowę jest ostateczne</w:t>
            </w:r>
          </w:p>
        </w:tc>
        <w:tc>
          <w:tcPr>
            <w:vAlign w:val="center"/>
          </w:tcPr>
          <w:p w:rsidR="00000000" w:rsidDel="00000000" w:rsidP="00000000" w:rsidRDefault="00000000" w:rsidRPr="00000000" w14:paraId="0000015B">
            <w:pPr>
              <w:spacing w:after="144" w:before="144"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tak*</w:t>
            </w:r>
          </w:p>
        </w:tc>
        <w:tc>
          <w:tcPr>
            <w:vAlign w:val="center"/>
          </w:tcPr>
          <w:p w:rsidR="00000000" w:rsidDel="00000000" w:rsidP="00000000" w:rsidRDefault="00000000" w:rsidRPr="00000000" w14:paraId="0000015C">
            <w:pPr>
              <w:spacing w:after="144" w:before="144" w:line="240" w:lineRule="auto"/>
              <w:jc w:val="center"/>
              <w:rPr>
                <w:rFonts w:ascii="Times New Roman" w:cs="Times New Roman" w:eastAsia="Times New Roman" w:hAnsi="Times New Roman"/>
                <w:strike w:val="1"/>
                <w:sz w:val="20"/>
                <w:szCs w:val="20"/>
              </w:rPr>
            </w:pPr>
            <w:r w:rsidDel="00000000" w:rsidR="00000000" w:rsidRPr="00000000">
              <w:rPr>
                <w:rFonts w:ascii="Times New Roman" w:cs="Times New Roman" w:eastAsia="Times New Roman" w:hAnsi="Times New Roman"/>
                <w:strike w:val="1"/>
                <w:sz w:val="20"/>
                <w:szCs w:val="20"/>
                <w:rtl w:val="0"/>
              </w:rPr>
              <w:t xml:space="preserve">nie*</w:t>
            </w:r>
          </w:p>
        </w:tc>
      </w:tr>
      <w:tr>
        <w:trPr>
          <w:cantSplit w:val="0"/>
          <w:trHeight w:val="390" w:hRule="atLeast"/>
          <w:tblHeader w:val="0"/>
        </w:trPr>
        <w:tc>
          <w:tcPr>
            <w:shd w:fill="f3f3f3" w:val="clear"/>
          </w:tcPr>
          <w:p w:rsidR="00000000" w:rsidDel="00000000" w:rsidP="00000000" w:rsidRDefault="00000000" w:rsidRPr="00000000" w14:paraId="0000015D">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Czy pozwolenie na budowę jest zaskarżone</w:t>
            </w:r>
          </w:p>
        </w:tc>
        <w:tc>
          <w:tcPr>
            <w:vAlign w:val="center"/>
          </w:tcPr>
          <w:p w:rsidR="00000000" w:rsidDel="00000000" w:rsidP="00000000" w:rsidRDefault="00000000" w:rsidRPr="00000000" w14:paraId="0000015E">
            <w:pPr>
              <w:spacing w:after="144" w:before="144" w:line="240" w:lineRule="auto"/>
              <w:jc w:val="center"/>
              <w:rPr>
                <w:rFonts w:ascii="Times New Roman" w:cs="Times New Roman" w:eastAsia="Times New Roman" w:hAnsi="Times New Roman"/>
                <w:strike w:val="1"/>
                <w:sz w:val="20"/>
                <w:szCs w:val="20"/>
              </w:rPr>
            </w:pPr>
            <w:r w:rsidDel="00000000" w:rsidR="00000000" w:rsidRPr="00000000">
              <w:rPr>
                <w:rFonts w:ascii="Times New Roman" w:cs="Times New Roman" w:eastAsia="Times New Roman" w:hAnsi="Times New Roman"/>
                <w:strike w:val="1"/>
                <w:sz w:val="20"/>
                <w:szCs w:val="20"/>
                <w:rtl w:val="0"/>
              </w:rPr>
              <w:t xml:space="preserve">tak*</w:t>
            </w:r>
          </w:p>
        </w:tc>
        <w:tc>
          <w:tcPr>
            <w:vAlign w:val="center"/>
          </w:tcPr>
          <w:p w:rsidR="00000000" w:rsidDel="00000000" w:rsidP="00000000" w:rsidRDefault="00000000" w:rsidRPr="00000000" w14:paraId="0000015F">
            <w:pPr>
              <w:spacing w:after="144" w:before="144"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nie*</w:t>
            </w:r>
          </w:p>
        </w:tc>
      </w:tr>
      <w:tr>
        <w:trPr>
          <w:cantSplit w:val="0"/>
          <w:trHeight w:val="195" w:hRule="atLeast"/>
          <w:tblHeader w:val="0"/>
        </w:trPr>
        <w:tc>
          <w:tcPr>
            <w:shd w:fill="f3f3f3" w:val="clear"/>
          </w:tcPr>
          <w:p w:rsidR="00000000" w:rsidDel="00000000" w:rsidP="00000000" w:rsidRDefault="00000000" w:rsidRPr="00000000" w14:paraId="00000160">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Numer pozwolenia na budowę oraz nazwa organu, który je wydał</w:t>
            </w:r>
          </w:p>
        </w:tc>
        <w:tc>
          <w:tcPr>
            <w:gridSpan w:val="2"/>
          </w:tcPr>
          <w:p w:rsidR="00000000" w:rsidDel="00000000" w:rsidP="00000000" w:rsidRDefault="00000000" w:rsidRPr="00000000" w14:paraId="00000161">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Decyzja 1302/2025 z 05 sierpnia 2025 roku (znak sprawy: WA.6740.5.97.2025.PB.MK) wydana z upoważnienia Starosty Pruszkowskiego przenosząca na nowego inwestora decyzję 551/2024 z 26 kwietnia 2024 r. (znak sprawy WA.6740.1.137.2024.BK.AJ) wydaną z upoważnienia Starosty Pruszkowskiego </w:t>
            </w:r>
          </w:p>
        </w:tc>
      </w:tr>
      <w:tr>
        <w:trPr>
          <w:cantSplit w:val="0"/>
          <w:trHeight w:val="195" w:hRule="atLeast"/>
          <w:tblHeader w:val="0"/>
        </w:trPr>
        <w:tc>
          <w:tcPr>
            <w:shd w:fill="f3f3f3" w:val="clear"/>
          </w:tcPr>
          <w:p w:rsidR="00000000" w:rsidDel="00000000" w:rsidP="00000000" w:rsidRDefault="00000000" w:rsidRPr="00000000" w14:paraId="00000163">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Data uprawomocnienia się decyzji o pozwoleniu na użytkowanie budynku</w:t>
            </w:r>
          </w:p>
        </w:tc>
        <w:tc>
          <w:tcPr>
            <w:gridSpan w:val="2"/>
          </w:tcPr>
          <w:p w:rsidR="00000000" w:rsidDel="00000000" w:rsidP="00000000" w:rsidRDefault="00000000" w:rsidRPr="00000000" w14:paraId="00000164">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 dotyczy</w:t>
            </w:r>
          </w:p>
        </w:tc>
      </w:tr>
      <w:tr>
        <w:trPr>
          <w:cantSplit w:val="0"/>
          <w:trHeight w:val="195" w:hRule="atLeast"/>
          <w:tblHeader w:val="0"/>
        </w:trPr>
        <w:tc>
          <w:tcPr>
            <w:shd w:fill="f3f3f3" w:val="clear"/>
          </w:tcPr>
          <w:p w:rsidR="00000000" w:rsidDel="00000000" w:rsidP="00000000" w:rsidRDefault="00000000" w:rsidRPr="00000000" w14:paraId="00000166">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Numer zgłoszenia budowy, o której mowa w art. 29 ust. 1 pkt 1 ustawy z dnia 7 lipca 1994 r. – Prawo budowlane (Dz. U. z 2023 r. poz. 682, z późn. zm.), oraz oznaczenie organu, do którego dokonano zgłoszenia, wraz z informacją o braku wniesienia sprzeciwu przez ten organ</w:t>
            </w:r>
          </w:p>
        </w:tc>
        <w:tc>
          <w:tcPr>
            <w:gridSpan w:val="2"/>
          </w:tcPr>
          <w:p w:rsidR="00000000" w:rsidDel="00000000" w:rsidP="00000000" w:rsidRDefault="00000000" w:rsidRPr="00000000" w14:paraId="00000167">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 dotyczy </w:t>
            </w:r>
          </w:p>
        </w:tc>
      </w:tr>
      <w:tr>
        <w:trPr>
          <w:cantSplit w:val="0"/>
          <w:trHeight w:val="195" w:hRule="atLeast"/>
          <w:tblHeader w:val="0"/>
        </w:trPr>
        <w:tc>
          <w:tcPr>
            <w:shd w:fill="f3f3f3" w:val="clear"/>
          </w:tcPr>
          <w:p w:rsidR="00000000" w:rsidDel="00000000" w:rsidP="00000000" w:rsidRDefault="00000000" w:rsidRPr="00000000" w14:paraId="00000169">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Data zakończenia budowy domu jednorodzinnego </w:t>
            </w:r>
          </w:p>
        </w:tc>
        <w:tc>
          <w:tcPr>
            <w:gridSpan w:val="2"/>
          </w:tcPr>
          <w:p w:rsidR="00000000" w:rsidDel="00000000" w:rsidP="00000000" w:rsidRDefault="00000000" w:rsidRPr="00000000" w14:paraId="0000016A">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 dotyczy </w:t>
            </w:r>
          </w:p>
        </w:tc>
      </w:tr>
      <w:tr>
        <w:trPr>
          <w:cantSplit w:val="0"/>
          <w:trHeight w:val="195" w:hRule="atLeast"/>
          <w:tblHeader w:val="0"/>
        </w:trPr>
        <w:tc>
          <w:tcPr>
            <w:shd w:fill="f3f3f3" w:val="clear"/>
          </w:tcPr>
          <w:p w:rsidR="00000000" w:rsidDel="00000000" w:rsidP="00000000" w:rsidRDefault="00000000" w:rsidRPr="00000000" w14:paraId="0000016C">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Planowany termin rozpoczęcia i zakończenia robót budowlanych</w:t>
            </w:r>
          </w:p>
        </w:tc>
        <w:tc>
          <w:tcPr>
            <w:gridSpan w:val="2"/>
          </w:tcPr>
          <w:p w:rsidR="00000000" w:rsidDel="00000000" w:rsidP="00000000" w:rsidRDefault="00000000" w:rsidRPr="00000000" w14:paraId="0000016D">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Termin rozpoczęcia prac związanych z zadaniem inwestycyjnym nr 1: 26.04.2024 r.</w:t>
            </w:r>
          </w:p>
          <w:p w:rsidR="00000000" w:rsidDel="00000000" w:rsidP="00000000" w:rsidRDefault="00000000" w:rsidRPr="00000000" w14:paraId="0000016E">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Termin zakończenia prac związanych z zadaniem inwestycyjnym nr 1: 20.12.2025 r.</w:t>
            </w:r>
          </w:p>
        </w:tc>
      </w:tr>
      <w:tr>
        <w:trPr>
          <w:cantSplit w:val="0"/>
          <w:trHeight w:val="325" w:hRule="atLeast"/>
          <w:tblHeader w:val="0"/>
        </w:trPr>
        <w:tc>
          <w:tcPr>
            <w:vMerge w:val="restart"/>
            <w:shd w:fill="f3f3f3" w:val="clear"/>
          </w:tcPr>
          <w:p w:rsidR="00000000" w:rsidDel="00000000" w:rsidP="00000000" w:rsidRDefault="00000000" w:rsidRPr="00000000" w14:paraId="00000170">
            <w:pPr>
              <w:spacing w:after="144" w:before="144"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1">
            <w:pPr>
              <w:spacing w:after="144" w:before="144"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Opis przedsięwzięcia deweloperskiego albo zadania inwestycyjnego</w:t>
            </w:r>
          </w:p>
          <w:p w:rsidR="00000000" w:rsidDel="00000000" w:rsidP="00000000" w:rsidRDefault="00000000" w:rsidRPr="00000000" w14:paraId="00000172">
            <w:pPr>
              <w:spacing w:after="144" w:before="144" w:line="240" w:lineRule="auto"/>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73">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Liczba budynków </w:t>
            </w:r>
          </w:p>
        </w:tc>
        <w:tc>
          <w:tcPr/>
          <w:p w:rsidR="00000000" w:rsidDel="00000000" w:rsidP="00000000" w:rsidRDefault="00000000" w:rsidRPr="00000000" w14:paraId="00000174">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 ramach zadania inwestycyjnego nr 1 zostanie wybudowany jeden budynek mieszkalny jednorodzinny dwulokalowy określony jako budynek A. </w:t>
            </w:r>
          </w:p>
          <w:p w:rsidR="00000000" w:rsidDel="00000000" w:rsidP="00000000" w:rsidRDefault="00000000" w:rsidRPr="00000000" w14:paraId="00000175">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 ramach przedsięwzięcia deweloperskiego przewidywane jest wybudowanie łącznie trzech budynków mieszkalnych jednorodzinnych dwulokalowych.  </w:t>
            </w:r>
          </w:p>
        </w:tc>
      </w:tr>
      <w:tr>
        <w:trPr>
          <w:cantSplit w:val="0"/>
          <w:trHeight w:val="325" w:hRule="atLeast"/>
          <w:tblHeader w:val="0"/>
        </w:trPr>
        <w:tc>
          <w:tcPr>
            <w:vMerge w:val="continue"/>
            <w:shd w:fill="f3f3f3" w:val="clea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77">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Rozmieszczenie budynków na nieruchomości (należy podać minimalny odstęp między budynkami)</w:t>
            </w:r>
          </w:p>
        </w:tc>
        <w:tc>
          <w:tcPr/>
          <w:p w:rsidR="00000000" w:rsidDel="00000000" w:rsidP="00000000" w:rsidRDefault="00000000" w:rsidRPr="00000000" w14:paraId="00000178">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Zadanie inwestycyjne nr 1 obejmuje jeden budynek mieszkalny jednorodzinny dwulokalowy. W ramach przedsięwzięcia deweloperskiego przewidywane jest wybudowanie łącznie trzech budynków mieszkalnych jednorodzinnych dwulokalowych. Minimalny odstęp między wyżej wymienionymi budynkami wynosi 1,5 m. </w:t>
            </w:r>
          </w:p>
        </w:tc>
      </w:tr>
      <w:tr>
        <w:trPr>
          <w:cantSplit w:val="0"/>
          <w:trHeight w:val="488" w:hRule="atLeast"/>
          <w:tblHeader w:val="0"/>
        </w:trPr>
        <w:tc>
          <w:tcPr>
            <w:shd w:fill="f3f3f3" w:val="clear"/>
          </w:tcPr>
          <w:p w:rsidR="00000000" w:rsidDel="00000000" w:rsidP="00000000" w:rsidRDefault="00000000" w:rsidRPr="00000000" w14:paraId="00000179">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Sposób pomiaru powierzchni użytkowej lokalu mieszkalnego albo domu jednorodzinnego</w:t>
            </w:r>
          </w:p>
        </w:tc>
        <w:tc>
          <w:tcPr>
            <w:gridSpan w:val="2"/>
          </w:tcPr>
          <w:p w:rsidR="00000000" w:rsidDel="00000000" w:rsidP="00000000" w:rsidRDefault="00000000" w:rsidRPr="00000000" w14:paraId="0000017A">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Pomiar powierzchni użytkowej Lokalu zostanie dokonany na podstawie polskiej normy PN-ISO 9836:2022-07, tj. bez uwzględnienia w powierzchni użytkowej Lokalu między innymi powierzchni pod wybudowanymi ściankami działowymi, stosownie do treści rozporządzenia Ministra Rozwoju z dnia 11 września 2020 r. w sprawie szczegółowego zakresu i formy projektu budowlanego (Dz. U. 2022 poz. 1679 ze zm.)</w:t>
            </w:r>
          </w:p>
        </w:tc>
      </w:tr>
      <w:tr>
        <w:trPr>
          <w:cantSplit w:val="0"/>
          <w:tblHeader w:val="0"/>
        </w:trPr>
        <w:tc>
          <w:tcPr>
            <w:vMerge w:val="restart"/>
            <w:shd w:fill="f3f3f3" w:val="clear"/>
          </w:tcPr>
          <w:p w:rsidR="00000000" w:rsidDel="00000000" w:rsidP="00000000" w:rsidRDefault="00000000" w:rsidRPr="00000000" w14:paraId="0000017C">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Zamierzony sposób i procentowy udział źródeł finansowania przedsięwzięcia deweloperskiego lub zadania inwestycyjnego</w:t>
            </w:r>
          </w:p>
          <w:p w:rsidR="00000000" w:rsidDel="00000000" w:rsidP="00000000" w:rsidRDefault="00000000" w:rsidRPr="00000000" w14:paraId="0000017D">
            <w:pPr>
              <w:spacing w:after="144" w:before="144" w:line="240" w:lineRule="auto"/>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7E">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Rodzaj posiadanych środków finansowych – kredyt, środki własne, inne</w:t>
            </w:r>
          </w:p>
        </w:tc>
        <w:tc>
          <w:tcPr/>
          <w:p w:rsidR="00000000" w:rsidDel="00000000" w:rsidP="00000000" w:rsidRDefault="00000000" w:rsidRPr="00000000" w14:paraId="0000017F">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Środki własne </w:t>
            </w:r>
          </w:p>
          <w:p w:rsidR="00000000" w:rsidDel="00000000" w:rsidP="00000000" w:rsidRDefault="00000000" w:rsidRPr="00000000" w14:paraId="00000180">
            <w:pPr>
              <w:spacing w:after="144" w:before="144" w:line="240" w:lineRule="auto"/>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shd w:fill="f3f3f3" w:val="clear"/>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82">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 następujących instytucjach finansowych (wypełnia się w przypadku kredytu)</w:t>
            </w:r>
          </w:p>
        </w:tc>
        <w:tc>
          <w:tcPr/>
          <w:p w:rsidR="00000000" w:rsidDel="00000000" w:rsidP="00000000" w:rsidRDefault="00000000" w:rsidRPr="00000000" w14:paraId="00000183">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 dotyczy</w:t>
            </w:r>
          </w:p>
        </w:tc>
      </w:tr>
      <w:tr>
        <w:trPr>
          <w:cantSplit w:val="0"/>
          <w:trHeight w:val="1481" w:hRule="atLeast"/>
          <w:tblHeader w:val="0"/>
        </w:trPr>
        <w:tc>
          <w:tcPr>
            <w:vMerge w:val="restart"/>
            <w:shd w:fill="f3f3f3" w:val="clear"/>
          </w:tcPr>
          <w:p w:rsidR="00000000" w:rsidDel="00000000" w:rsidP="00000000" w:rsidRDefault="00000000" w:rsidRPr="00000000" w14:paraId="00000184">
            <w:pPr>
              <w:spacing w:after="144" w:before="144"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Środki ochrony nabywców</w:t>
            </w:r>
          </w:p>
        </w:tc>
        <w:tc>
          <w:tcPr/>
          <w:p w:rsidR="00000000" w:rsidDel="00000000" w:rsidP="00000000" w:rsidRDefault="00000000" w:rsidRPr="00000000" w14:paraId="00000185">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Otwarty mieszkaniowy rachunek powierniczy*</w:t>
            </w:r>
          </w:p>
        </w:tc>
        <w:tc>
          <w:tcPr/>
          <w:p w:rsidR="00000000" w:rsidDel="00000000" w:rsidP="00000000" w:rsidRDefault="00000000" w:rsidRPr="00000000" w14:paraId="00000186">
            <w:pPr>
              <w:spacing w:after="144" w:before="144" w:line="240" w:lineRule="auto"/>
              <w:jc w:val="both"/>
              <w:rPr>
                <w:rFonts w:ascii="Times New Roman" w:cs="Times New Roman" w:eastAsia="Times New Roman" w:hAnsi="Times New Roman"/>
                <w:strike w:val="1"/>
                <w:sz w:val="20"/>
                <w:szCs w:val="20"/>
              </w:rPr>
            </w:pPr>
            <w:r w:rsidDel="00000000" w:rsidR="00000000" w:rsidRPr="00000000">
              <w:rPr>
                <w:rFonts w:ascii="Times New Roman" w:cs="Times New Roman" w:eastAsia="Times New Roman" w:hAnsi="Times New Roman"/>
                <w:strike w:val="1"/>
                <w:sz w:val="20"/>
                <w:szCs w:val="20"/>
                <w:rtl w:val="0"/>
              </w:rPr>
              <w:t xml:space="preserve">Zamknięty mieszkaniowy rachunek powierniczy*</w:t>
            </w:r>
          </w:p>
        </w:tc>
      </w:tr>
      <w:tr>
        <w:trPr>
          <w:cantSplit w:val="0"/>
          <w:tblHeader w:val="0"/>
        </w:trPr>
        <w:tc>
          <w:tcPr>
            <w:vMerge w:val="continue"/>
            <w:shd w:fill="f3f3f3" w:val="clear"/>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trike w:val="1"/>
                <w:sz w:val="20"/>
                <w:szCs w:val="20"/>
              </w:rPr>
            </w:pPr>
            <w:r w:rsidDel="00000000" w:rsidR="00000000" w:rsidRPr="00000000">
              <w:rPr>
                <w:rtl w:val="0"/>
              </w:rPr>
            </w:r>
          </w:p>
        </w:tc>
        <w:tc>
          <w:tcPr/>
          <w:p w:rsidR="00000000" w:rsidDel="00000000" w:rsidP="00000000" w:rsidRDefault="00000000" w:rsidRPr="00000000" w14:paraId="00000188">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Wysokość stawki procentowej, według której jest obliczana kwota składki na Deweloperski Fundusz Gwarancyjny</w:t>
            </w:r>
            <w:r w:rsidDel="00000000" w:rsidR="00000000" w:rsidRPr="00000000">
              <w:rPr>
                <w:rFonts w:ascii="Times New Roman" w:cs="Times New Roman" w:eastAsia="Times New Roman" w:hAnsi="Times New Roman"/>
                <w:sz w:val="20"/>
                <w:szCs w:val="20"/>
                <w:vertAlign w:val="superscript"/>
              </w:rPr>
              <w:footnoteReference w:customMarkFollows="0" w:id="7"/>
            </w:r>
            <w:r w:rsidDel="00000000" w:rsidR="00000000" w:rsidRPr="00000000">
              <w:rPr>
                <w:rFonts w:ascii="Times New Roman" w:cs="Times New Roman" w:eastAsia="Times New Roman" w:hAnsi="Times New Roman"/>
                <w:sz w:val="20"/>
                <w:szCs w:val="20"/>
                <w:vertAlign w:val="superscript"/>
                <w:rtl w:val="0"/>
              </w:rPr>
              <w:t xml:space="preserve">)</w:t>
            </w:r>
            <w:r w:rsidDel="00000000" w:rsidR="00000000" w:rsidRPr="00000000">
              <w:rPr>
                <w:rFonts w:ascii="Times New Roman" w:cs="Times New Roman" w:eastAsia="Times New Roman" w:hAnsi="Times New Roman"/>
                <w:sz w:val="20"/>
                <w:szCs w:val="20"/>
                <w:rtl w:val="0"/>
              </w:rPr>
              <w:t xml:space="preserve"> </w:t>
            </w:r>
          </w:p>
        </w:tc>
        <w:tc>
          <w:tcPr/>
          <w:p w:rsidR="00000000" w:rsidDel="00000000" w:rsidP="00000000" w:rsidRDefault="00000000" w:rsidRPr="00000000" w14:paraId="00000189">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0,45%</w:t>
            </w:r>
          </w:p>
        </w:tc>
      </w:tr>
      <w:tr>
        <w:trPr>
          <w:cantSplit w:val="0"/>
          <w:tblHeader w:val="0"/>
        </w:trPr>
        <w:tc>
          <w:tcPr>
            <w:shd w:fill="f3f3f3" w:val="clear"/>
          </w:tcPr>
          <w:p w:rsidR="00000000" w:rsidDel="00000000" w:rsidP="00000000" w:rsidRDefault="00000000" w:rsidRPr="00000000" w14:paraId="0000018A">
            <w:pPr>
              <w:spacing w:after="144" w:before="144"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Główne zasady funkcjonowania wybranego rodzaju zabezpieczenia środków nabywcy</w:t>
            </w:r>
          </w:p>
        </w:tc>
        <w:tc>
          <w:tcPr>
            <w:gridSpan w:val="2"/>
          </w:tcPr>
          <w:p w:rsidR="00000000" w:rsidDel="00000000" w:rsidP="00000000" w:rsidRDefault="00000000" w:rsidRPr="00000000" w14:paraId="0000018B">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Otwarty mieszkaniowy rachunek powierniczy, prowadzony przez </w:t>
            </w:r>
            <w:r w:rsidDel="00000000" w:rsidR="00000000" w:rsidRPr="00000000">
              <w:rPr>
                <w:rFonts w:ascii="Times New Roman" w:cs="Times New Roman" w:eastAsia="Times New Roman" w:hAnsi="Times New Roman"/>
                <w:sz w:val="20"/>
                <w:szCs w:val="20"/>
                <w:highlight w:val="yellow"/>
                <w:rtl w:val="0"/>
              </w:rPr>
              <w:t xml:space="preserve">__________</w:t>
            </w:r>
            <w:r w:rsidDel="00000000" w:rsidR="00000000" w:rsidRPr="00000000">
              <w:rPr>
                <w:rFonts w:ascii="Times New Roman" w:cs="Times New Roman" w:eastAsia="Times New Roman" w:hAnsi="Times New Roman"/>
                <w:sz w:val="20"/>
                <w:szCs w:val="20"/>
                <w:rtl w:val="0"/>
              </w:rPr>
              <w:t xml:space="preserve"> z siedzibą w </w:t>
            </w:r>
            <w:r w:rsidDel="00000000" w:rsidR="00000000" w:rsidRPr="00000000">
              <w:rPr>
                <w:rFonts w:ascii="Times New Roman" w:cs="Times New Roman" w:eastAsia="Times New Roman" w:hAnsi="Times New Roman"/>
                <w:sz w:val="20"/>
                <w:szCs w:val="20"/>
                <w:highlight w:val="yellow"/>
                <w:rtl w:val="0"/>
              </w:rPr>
              <w:t xml:space="preserve">_________</w:t>
            </w:r>
            <w:r w:rsidDel="00000000" w:rsidR="00000000" w:rsidRPr="00000000">
              <w:rPr>
                <w:rFonts w:ascii="Times New Roman" w:cs="Times New Roman" w:eastAsia="Times New Roman" w:hAnsi="Times New Roman"/>
                <w:sz w:val="20"/>
                <w:szCs w:val="20"/>
                <w:rtl w:val="0"/>
              </w:rPr>
              <w:t xml:space="preserve">, prowadzony na podstawie Umowy Otwartego Rachunku Powierniczego nr </w:t>
            </w:r>
            <w:r w:rsidDel="00000000" w:rsidR="00000000" w:rsidRPr="00000000">
              <w:rPr>
                <w:rFonts w:ascii="Times New Roman" w:cs="Times New Roman" w:eastAsia="Times New Roman" w:hAnsi="Times New Roman"/>
                <w:sz w:val="20"/>
                <w:szCs w:val="20"/>
                <w:highlight w:val="yellow"/>
                <w:rtl w:val="0"/>
              </w:rPr>
              <w:t xml:space="preserve">______________</w:t>
            </w:r>
            <w:r w:rsidDel="00000000" w:rsidR="00000000" w:rsidRPr="00000000">
              <w:rPr>
                <w:rFonts w:ascii="Times New Roman" w:cs="Times New Roman" w:eastAsia="Times New Roman" w:hAnsi="Times New Roman"/>
                <w:sz w:val="20"/>
                <w:szCs w:val="20"/>
                <w:rtl w:val="0"/>
              </w:rPr>
              <w:t xml:space="preserve"> z dnia </w:t>
            </w:r>
            <w:r w:rsidDel="00000000" w:rsidR="00000000" w:rsidRPr="00000000">
              <w:rPr>
                <w:rFonts w:ascii="Times New Roman" w:cs="Times New Roman" w:eastAsia="Times New Roman" w:hAnsi="Times New Roman"/>
                <w:sz w:val="20"/>
                <w:szCs w:val="20"/>
                <w:highlight w:val="yellow"/>
                <w:rtl w:val="0"/>
              </w:rPr>
              <w:t xml:space="preserve">__________</w:t>
            </w:r>
            <w:r w:rsidDel="00000000" w:rsidR="00000000" w:rsidRPr="00000000">
              <w:rPr>
                <w:rFonts w:ascii="Times New Roman" w:cs="Times New Roman" w:eastAsia="Times New Roman" w:hAnsi="Times New Roman"/>
                <w:sz w:val="20"/>
                <w:szCs w:val="20"/>
                <w:rtl w:val="0"/>
              </w:rPr>
              <w:t xml:space="preserve"> roku, na podstawie którego </w:t>
            </w:r>
            <w:r w:rsidDel="00000000" w:rsidR="00000000" w:rsidRPr="00000000">
              <w:rPr>
                <w:rFonts w:ascii="Times New Roman" w:cs="Times New Roman" w:eastAsia="Times New Roman" w:hAnsi="Times New Roman"/>
                <w:sz w:val="20"/>
                <w:szCs w:val="20"/>
                <w:highlight w:val="yellow"/>
                <w:rtl w:val="0"/>
              </w:rPr>
              <w:t xml:space="preserve">______________</w:t>
            </w:r>
            <w:r w:rsidDel="00000000" w:rsidR="00000000" w:rsidRPr="00000000">
              <w:rPr>
                <w:rFonts w:ascii="Times New Roman" w:cs="Times New Roman" w:eastAsia="Times New Roman" w:hAnsi="Times New Roman"/>
                <w:sz w:val="20"/>
                <w:szCs w:val="20"/>
                <w:rtl w:val="0"/>
              </w:rPr>
              <w:t xml:space="preserve"> prowadzi otwarty mieszkaniowy rachunek powierniczy numer </w:t>
            </w:r>
            <w:r w:rsidDel="00000000" w:rsidR="00000000" w:rsidRPr="00000000">
              <w:rPr>
                <w:rFonts w:ascii="Times New Roman" w:cs="Times New Roman" w:eastAsia="Times New Roman" w:hAnsi="Times New Roman"/>
                <w:sz w:val="20"/>
                <w:szCs w:val="20"/>
                <w:highlight w:val="yellow"/>
                <w:rtl w:val="0"/>
              </w:rPr>
              <w:t xml:space="preserve">________________________________</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8C">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Deweloper, w ramach otwartego mieszkaniowego rachunku powierniczego, dla każdego z Nabywców w umowie deweloperskiej wskazuje numer Rachunku Indywidualnego, na który to rachunek dokonywane są wpłaty poszczególnych Nabywców. Warunkiem wypłaty środków z Rachunku jest: </w:t>
            </w:r>
          </w:p>
          <w:p w:rsidR="00000000" w:rsidDel="00000000" w:rsidP="00000000" w:rsidRDefault="00000000" w:rsidRPr="00000000" w14:paraId="0000018D">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stwierdzenie przez Bank ukończenia danego etapu realizacji Zadania Inwestycyjnego, określonego w Harmonogramie Zadania Inwestycyjnego oraz stwierdzenie poprawnego i zgodnego z Harmonogramem Zadania Inwestycyjnego, procentu zużycia środków finansowych na jego realizację;</w:t>
            </w:r>
          </w:p>
          <w:p w:rsidR="00000000" w:rsidDel="00000000" w:rsidP="00000000" w:rsidRDefault="00000000" w:rsidRPr="00000000" w14:paraId="0000018E">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 dostarczenie Bankowi potwierdzenie przeniesienia na Posiadacza Rachunku prawomocnej decyzji zatwierdzającej projekt budowlany i udzielającej pozwolenia na budowę Zadania Inwestycyjnego określonej w § </w:t>
            </w:r>
            <w:r w:rsidDel="00000000" w:rsidR="00000000" w:rsidRPr="00000000">
              <w:rPr>
                <w:rFonts w:ascii="Times New Roman" w:cs="Times New Roman" w:eastAsia="Times New Roman" w:hAnsi="Times New Roman"/>
                <w:sz w:val="20"/>
                <w:szCs w:val="20"/>
                <w:highlight w:val="yellow"/>
                <w:rtl w:val="0"/>
              </w:rPr>
              <w:t xml:space="preserve">__</w:t>
            </w:r>
            <w:r w:rsidDel="00000000" w:rsidR="00000000" w:rsidRPr="00000000">
              <w:rPr>
                <w:rFonts w:ascii="Times New Roman" w:cs="Times New Roman" w:eastAsia="Times New Roman" w:hAnsi="Times New Roman"/>
                <w:sz w:val="20"/>
                <w:szCs w:val="20"/>
                <w:rtl w:val="0"/>
              </w:rPr>
              <w:t xml:space="preserve"> ust. </w:t>
            </w:r>
            <w:r w:rsidDel="00000000" w:rsidR="00000000" w:rsidRPr="00000000">
              <w:rPr>
                <w:rFonts w:ascii="Times New Roman" w:cs="Times New Roman" w:eastAsia="Times New Roman" w:hAnsi="Times New Roman"/>
                <w:sz w:val="20"/>
                <w:szCs w:val="20"/>
                <w:highlight w:val="yellow"/>
                <w:rtl w:val="0"/>
              </w:rPr>
              <w:t xml:space="preserve">__</w:t>
            </w:r>
            <w:r w:rsidDel="00000000" w:rsidR="00000000" w:rsidRPr="00000000">
              <w:rPr>
                <w:rFonts w:ascii="Times New Roman" w:cs="Times New Roman" w:eastAsia="Times New Roman" w:hAnsi="Times New Roman"/>
                <w:sz w:val="20"/>
                <w:szCs w:val="20"/>
                <w:rtl w:val="0"/>
              </w:rPr>
              <w:t xml:space="preserve"> – przed pierwszą wypłatą środków z Rachunku.</w:t>
            </w:r>
          </w:p>
          <w:p w:rsidR="00000000" w:rsidDel="00000000" w:rsidP="00000000" w:rsidRDefault="00000000" w:rsidRPr="00000000" w14:paraId="0000018F">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Przed wypłatą środków z Rachunku, Bank sam lub poprzez Project Monitora, dokona inspekcji placu budowy oraz sprawdzi zakończenie etapu Zadania Inwestycyjnego, którego dotyczy dyspozycja wypłaty środków oraz oświadczenie do wypłaty, a w szczególności dokona weryfikacji w dzienniku budowy wpisów świadczących o zakończeniu realizacji danego etapu Zadania Inwestycyjnego. Bank będzie dokonywał wypłaty środków z Rachunku zgodnie z algorytmem zawartym w Załączniku nr </w:t>
            </w:r>
            <w:r w:rsidDel="00000000" w:rsidR="00000000" w:rsidRPr="00000000">
              <w:rPr>
                <w:rFonts w:ascii="Times New Roman" w:cs="Times New Roman" w:eastAsia="Times New Roman" w:hAnsi="Times New Roman"/>
                <w:sz w:val="20"/>
                <w:szCs w:val="20"/>
                <w:highlight w:val="yellow"/>
                <w:rtl w:val="0"/>
              </w:rPr>
              <w:t xml:space="preserve">_</w:t>
            </w:r>
            <w:r w:rsidDel="00000000" w:rsidR="00000000" w:rsidRPr="00000000">
              <w:rPr>
                <w:rFonts w:ascii="Times New Roman" w:cs="Times New Roman" w:eastAsia="Times New Roman" w:hAnsi="Times New Roman"/>
                <w:sz w:val="20"/>
                <w:szCs w:val="20"/>
                <w:rtl w:val="0"/>
              </w:rPr>
              <w:t xml:space="preserve"> do Umowy.</w:t>
            </w:r>
          </w:p>
          <w:p w:rsidR="00000000" w:rsidDel="00000000" w:rsidP="00000000" w:rsidRDefault="00000000" w:rsidRPr="00000000" w14:paraId="00000190">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Bank będzie realizował wypłaty jedynie w oparciu o zarejestrowane w Banku Umowy Deweloperskie. Do puli środków, z których może być realizowana wypłata na rzecz Posiadacza Rachunku, będą zaliczane wyłącznie te środki, które wpłynęły poprawnie na Rachunki Indywidualne wskazane w zarejestrowanych w Banku Umowach Deweloperskich.</w:t>
            </w:r>
          </w:p>
          <w:p w:rsidR="00000000" w:rsidDel="00000000" w:rsidP="00000000" w:rsidRDefault="00000000" w:rsidRPr="00000000" w14:paraId="00000191">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Bank dokona wypłaty środków pieniężnych zgromadzonych na Rachunku w terminie 7 (siedmiu) dni roboczych po stwierdzeniu spełnienia przez Posiadacza Rachunku warunków wypłaty, o ile w treści dyspozycji wypłaty nie przewidziano późniejszego terminu realizacji. Termin wypłaty środków pieniężnych zgromadzonych na Rachunku liczony jest od dnia stwierdzenia przez Bank, że Posiadacz Rachunku spełnił wszystkie warunki wypłaty, określone w Umowie.</w:t>
            </w:r>
          </w:p>
          <w:p w:rsidR="00000000" w:rsidDel="00000000" w:rsidP="00000000" w:rsidRDefault="00000000" w:rsidRPr="00000000" w14:paraId="00000192">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 przypadku odstąpienia od Umowy Deweloperskiej przez jedną ze stron Umowy Deweloperskiej w trybie przewidzianym w art. 29 Ustawy, Bank przekaże Powierzającemu przypadające mu środki pieniężne, na podstawie:</w:t>
            </w:r>
          </w:p>
          <w:p w:rsidR="00000000" w:rsidDel="00000000" w:rsidP="00000000" w:rsidRDefault="00000000" w:rsidRPr="00000000" w14:paraId="00000193">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oświadczenia strony odstępującej o odstąpieniu od Umowy Deweloperskiej, oraz</w:t>
            </w:r>
          </w:p>
          <w:p w:rsidR="00000000" w:rsidDel="00000000" w:rsidP="00000000" w:rsidRDefault="00000000" w:rsidRPr="00000000" w14:paraId="00000194">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 oświadczenia Powierzającego dotyczącego postępowania po odstąpieniu od Umowy Deweloperskiej, które to oświadczenie zostanie złożone w Banku przez Powierzającego na formularzu wskazanym przez Bank.</w:t>
            </w:r>
          </w:p>
          <w:p w:rsidR="00000000" w:rsidDel="00000000" w:rsidP="00000000" w:rsidRDefault="00000000" w:rsidRPr="00000000" w14:paraId="00000195">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Uznaje się, że Bank spełnił świadczenie do rąk osoby uprawnionej jeżeli otrzymał i dokonał wypłaty na podstawie wymienionych powyżej dokumentów. Wszelkie dalsze rozliczenia będą następować między Powierzającym, a Posiadaczem Rachunku.</w:t>
            </w:r>
          </w:p>
          <w:p w:rsidR="00000000" w:rsidDel="00000000" w:rsidP="00000000" w:rsidRDefault="00000000" w:rsidRPr="00000000" w14:paraId="00000196">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 przypadku odstąpienia od Umowy Deweloperskiej przez Powierzającego, oświadczenie powinno zawierać potwierdzenie, że zostało doręczone Posiadaczowi Rachunku.</w:t>
            </w:r>
          </w:p>
          <w:p w:rsidR="00000000" w:rsidDel="00000000" w:rsidP="00000000" w:rsidRDefault="00000000" w:rsidRPr="00000000" w14:paraId="00000197">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Składane przez Powierzającego oświadczenia, o których mowa w ust. 1 niniejszego paragrafu, wymagają podpisu notarialnie poświadczonego lub powinny być złożone w obecności pracownika Banku.</w:t>
            </w:r>
          </w:p>
          <w:p w:rsidR="00000000" w:rsidDel="00000000" w:rsidP="00000000" w:rsidRDefault="00000000" w:rsidRPr="00000000" w14:paraId="00000198">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 przypadku odstąpienia od Umowy Deweloperskiej, która była przedmiotem przelewu wierzytelności na rzecz banku kredytującego Powierzającego na zabezpieczenie kredytu udzielonego Powierzającemu, Bank może wystąpić do banku kredytującego Powierzającego o potwierdzenie kwoty jaka powinna być przekazana na rachunek tego banku.</w:t>
            </w:r>
          </w:p>
          <w:p w:rsidR="00000000" w:rsidDel="00000000" w:rsidP="00000000" w:rsidRDefault="00000000" w:rsidRPr="00000000" w14:paraId="00000199">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 przypadku odstąpienia lub rozwiązania Umowy Deweloperskiej w trybie innym niż określony w art. 29 Ustawy, środki przypadające Powierzającemu, zgromadzone na Rachunku, zostaną przekazane przez Bank na podstawie:</w:t>
            </w:r>
          </w:p>
          <w:p w:rsidR="00000000" w:rsidDel="00000000" w:rsidP="00000000" w:rsidRDefault="00000000" w:rsidRPr="00000000" w14:paraId="0000019A">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złożonego w formie aktu notarialnego oświadczenia stron Umowy Deweloperskiej o rozwiązaniu Umowy Deweloperskiej,</w:t>
            </w:r>
          </w:p>
          <w:p w:rsidR="00000000" w:rsidDel="00000000" w:rsidP="00000000" w:rsidRDefault="00000000" w:rsidRPr="00000000" w14:paraId="0000019B">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 zgodnych oświadczeń stron Umowy Deweloperskiej o sposobie podziału środków pieniężnych wpłaconych przez Powierzającego na przypisany do niego Indywidualny Rachunek,</w:t>
            </w:r>
          </w:p>
          <w:p w:rsidR="00000000" w:rsidDel="00000000" w:rsidP="00000000" w:rsidRDefault="00000000" w:rsidRPr="00000000" w14:paraId="0000019C">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 pisemnego oświadczenia Powierzającego w sprawie postępowania po odstąpieniu od Umowy Deweloperskiej/rozwiązaniu Umowy Deweloperskiej, które to oświadczenie zostanie złożone w Banku przez Powierzającego na formularzu wskazanym przez Bank.</w:t>
            </w:r>
          </w:p>
          <w:p w:rsidR="00000000" w:rsidDel="00000000" w:rsidP="00000000" w:rsidRDefault="00000000" w:rsidRPr="00000000" w14:paraId="0000019D">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Składane przez Powierzającego oświadczenia, o których mowa powyżej, wymagają podpisu notarialnie poświadczonego lub powinny być złożone w obecności pracownika Banku.</w:t>
            </w:r>
          </w:p>
          <w:p w:rsidR="00000000" w:rsidDel="00000000" w:rsidP="00000000" w:rsidRDefault="00000000" w:rsidRPr="00000000" w14:paraId="0000019E">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 przypadku odstąpienia lub rozwiązania Umowy Deweloperskiej, która była przedmiotem przelewu wierzytelności na rzecz banku kredytującego Powierzającego, Bank może wystąpić do banku kredytującego Powierzającego o potwierdzenie kwoty do przekazania na rachunek banku kredytującego.</w:t>
            </w:r>
          </w:p>
        </w:tc>
      </w:tr>
      <w:tr>
        <w:trPr>
          <w:cantSplit w:val="0"/>
          <w:trHeight w:val="293" w:hRule="atLeast"/>
          <w:tblHeader w:val="0"/>
        </w:trPr>
        <w:tc>
          <w:tcPr>
            <w:shd w:fill="f3f3f3" w:val="clear"/>
          </w:tcPr>
          <w:p w:rsidR="00000000" w:rsidDel="00000000" w:rsidP="00000000" w:rsidRDefault="00000000" w:rsidRPr="00000000" w14:paraId="000001A0">
            <w:pPr>
              <w:spacing w:after="144" w:before="144"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Nazwa instytucji zapewniającej bezpieczeństwo środków nabywcy</w:t>
            </w:r>
          </w:p>
        </w:tc>
        <w:tc>
          <w:tcPr>
            <w:gridSpan w:val="2"/>
          </w:tcPr>
          <w:p w:rsidR="00000000" w:rsidDel="00000000" w:rsidP="00000000" w:rsidRDefault="00000000" w:rsidRPr="00000000" w14:paraId="000001A1">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yellow"/>
                <w:rtl w:val="0"/>
              </w:rPr>
              <w:t xml:space="preserve">Do uzupełnienia dane banku</w:t>
            </w:r>
            <w:r w:rsidDel="00000000" w:rsidR="00000000" w:rsidRPr="00000000">
              <w:rPr>
                <w:rtl w:val="0"/>
              </w:rPr>
            </w:r>
          </w:p>
        </w:tc>
      </w:tr>
      <w:tr>
        <w:trPr>
          <w:cantSplit w:val="0"/>
          <w:trHeight w:val="488" w:hRule="atLeast"/>
          <w:tblHeader w:val="0"/>
        </w:trPr>
        <w:tc>
          <w:tcPr>
            <w:shd w:fill="f3f3f3" w:val="clear"/>
          </w:tcPr>
          <w:p w:rsidR="00000000" w:rsidDel="00000000" w:rsidP="00000000" w:rsidRDefault="00000000" w:rsidRPr="00000000" w14:paraId="000001A3">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Harmonogram przedsięwzięcia deweloperskiego lub zadania inwestycyjnego</w:t>
            </w:r>
          </w:p>
        </w:tc>
        <w:tc>
          <w:tcPr>
            <w:gridSpan w:val="2"/>
          </w:tcPr>
          <w:p w:rsidR="00000000" w:rsidDel="00000000" w:rsidP="00000000" w:rsidRDefault="00000000" w:rsidRPr="00000000" w14:paraId="000001A4">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etap I do dnia 17 (siedemnastego) maja 2024 (dwa tysiące dwudziestego czwartego) roku (data zakończenia) – stan zerowy budynku – 25% kosztów, w tym: projekt architektoniczno-budowlany, projekt wykonawczy, rozbiórka starej zabudowy, częściowe uzbrojenie terenu do celów budowlanych, roboty ziemne, płyty, stopy i ławy fundamentowe, ściany fundamentowe z izolacją, słupy i ściany żelbetowe do poziomu zerowego, wykonanie zasypki i betonu podkładowego-wyrównawczego,</w:t>
            </w:r>
          </w:p>
          <w:p w:rsidR="00000000" w:rsidDel="00000000" w:rsidP="00000000" w:rsidRDefault="00000000" w:rsidRPr="00000000" w14:paraId="000001A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etap II do dnia 15 (piętnastego) czerwca 2024 (dwa tysiące dwudziestego czwartego) roku (data zakończenia) – strop nad drugą kondygnacją – 25% kosztów, w tym: ściany i słupy żelbetowe w poziomie parteru, I piętra i II piętra, nadproża i podciągi w poziomie parteru, I piętra, schody wewnętrzne w poziomie parteru, I piętra, strop nad parterem, I piętrem,</w:t>
            </w:r>
          </w:p>
          <w:p w:rsidR="00000000" w:rsidDel="00000000" w:rsidP="00000000" w:rsidRDefault="00000000" w:rsidRPr="00000000" w14:paraId="000001A6">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A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etap III do dnia 08 (ósmego) sierpnia 2024 (dwa tysiące dwudziestego czwartego) roku (data zakończenia) – pokrycie dachowe – 25% kosztów, w tym: ściany zewnętrzne, nadproża, schody wewnętrzne, murowane ściany poddasza, strop nad poddaszem i attyki, więźba dachowa, kominy, pokrycie dachowe, ściany osłonowe, ścianki działowe, stolarka okienna, drzwi wejściowe do budynków,</w:t>
            </w:r>
          </w:p>
          <w:p w:rsidR="00000000" w:rsidDel="00000000" w:rsidP="00000000" w:rsidRDefault="00000000" w:rsidRPr="00000000" w14:paraId="000001A8">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A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etap IV do dnia 20 (dwudziestego) grudnia 2025 (dwa tysiące dwudziestego piątego) roku (data zakończenia) –  zakończenie budowy – 25% kosztów, w tym: instalacje wewnętrzne , w tym: tynki, wylewki, elewacja budynku, ocieplenie i tynkowanie, wykończenie klatek schodowych, drzwi wejściowe do mieszkań, przyłącza zewnętrzne, wykończenie części zewnętrznych, ogrodzenie, komórki zewnętrzne. </w:t>
            </w:r>
          </w:p>
        </w:tc>
      </w:tr>
      <w:tr>
        <w:trPr>
          <w:cantSplit w:val="0"/>
          <w:trHeight w:val="292" w:hRule="atLeast"/>
          <w:tblHeader w:val="0"/>
        </w:trPr>
        <w:tc>
          <w:tcPr>
            <w:shd w:fill="f3f3f3" w:val="clear"/>
          </w:tcPr>
          <w:p w:rsidR="00000000" w:rsidDel="00000000" w:rsidP="00000000" w:rsidRDefault="00000000" w:rsidRPr="00000000" w14:paraId="000001AB">
            <w:pPr>
              <w:spacing w:after="144" w:before="144"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Dopuszczenie waloryzacji ceny oraz określenie zasad waloryzacji</w:t>
            </w:r>
          </w:p>
        </w:tc>
        <w:tc>
          <w:tcPr>
            <w:gridSpan w:val="2"/>
          </w:tcPr>
          <w:p w:rsidR="00000000" w:rsidDel="00000000" w:rsidP="00000000" w:rsidRDefault="00000000" w:rsidRPr="00000000" w14:paraId="000001AC">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Jeżeli zmiana ceny następuje w związku ze wzrostem wysokości stawki podatku od towarów i usług, wówczas:</w:t>
            </w:r>
          </w:p>
          <w:p w:rsidR="00000000" w:rsidDel="00000000" w:rsidP="00000000" w:rsidRDefault="00000000" w:rsidRPr="00000000" w14:paraId="000001AD">
            <w:pPr>
              <w:widowControl w:val="0"/>
              <w:numPr>
                <w:ilvl w:val="0"/>
                <w:numId w:val="13"/>
              </w:numPr>
              <w:pBdr>
                <w:top w:space="0" w:sz="0" w:val="nil"/>
                <w:left w:space="0" w:sz="0" w:val="nil"/>
                <w:bottom w:space="0" w:sz="0" w:val="nil"/>
                <w:right w:space="0" w:sz="0" w:val="nil"/>
                <w:between w:space="0" w:sz="0" w:val="nil"/>
              </w:pBdr>
              <w:spacing w:after="0" w:before="144" w:line="240" w:lineRule="auto"/>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Nabywca zobowiązuje się zapłacić Deweloperowi kwotę stanowiącą różnicę pomiędzy ceną, która powinna zostać zapłacona w związku ze zmianą wysokości stawki podatku od towarów i usług, a ceną wynikającą z umowy deweloperskiej,</w:t>
            </w:r>
          </w:p>
          <w:p w:rsidR="00000000" w:rsidDel="00000000" w:rsidP="00000000" w:rsidRDefault="00000000" w:rsidRPr="00000000" w14:paraId="000001AE">
            <w:pPr>
              <w:widowControl w:val="0"/>
              <w:numPr>
                <w:ilvl w:val="0"/>
                <w:numId w:val="13"/>
              </w:numPr>
              <w:pBdr>
                <w:top w:space="0" w:sz="0" w:val="nil"/>
                <w:left w:space="0" w:sz="0" w:val="nil"/>
                <w:bottom w:space="0" w:sz="0" w:val="nil"/>
                <w:right w:space="0" w:sz="0" w:val="nil"/>
                <w:between w:space="0" w:sz="0" w:val="nil"/>
              </w:pBdr>
              <w:spacing w:after="144" w:line="240" w:lineRule="auto"/>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zapłata różnicy powinna zostać dokonana wraz z zapłatą ostatniej części ceny.</w:t>
            </w:r>
          </w:p>
          <w:p w:rsidR="00000000" w:rsidDel="00000000" w:rsidP="00000000" w:rsidRDefault="00000000" w:rsidRPr="00000000" w14:paraId="000001AF">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Jeżeli zmiana ceny następuje w związku ze zmniejszeniem wysokości stawki podatku od towarów i usług, wówczas pozostałe do zapłaty części ceny ulegają zmniejszeniu zgodnie ze zmianą wysokości stawki podatku od towarów i usług.</w:t>
            </w:r>
          </w:p>
          <w:p w:rsidR="00000000" w:rsidDel="00000000" w:rsidP="00000000" w:rsidRDefault="00000000" w:rsidRPr="00000000" w14:paraId="000001B0">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Deweloper zobowiązany jest doręczyć Nabywcy zawiadomienie o zmianie ceny i wysokości spełniania świadczeń pieniężnych przez Nabywcę.</w:t>
            </w:r>
          </w:p>
          <w:p w:rsidR="00000000" w:rsidDel="00000000" w:rsidP="00000000" w:rsidRDefault="00000000" w:rsidRPr="00000000" w14:paraId="000001B1">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 przypadku wzrostu ceny w następstwie zmiany stawki podatku od towarów i usług Nabywcy przysługiwać będzie – w terminie miesiąca od doręczenia mu zawiadomienia o zmianie ceny, nie później niż do dnia poprzedzającego dzień zawarcia Umowy Przeniesienia Własności – prawo odstąpienia od umowy deweloperskiej. </w:t>
            </w:r>
          </w:p>
          <w:p w:rsidR="00000000" w:rsidDel="00000000" w:rsidP="00000000" w:rsidRDefault="00000000" w:rsidRPr="00000000" w14:paraId="000001B2">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Jeżeli w inwentaryzacji architektonicznej powykonawczej – sporządzonej po wybudowaniu budynku i po dokonaniu pomiaru powierzchni użytkowej Lokalu – powykonawcza powierzchnia użytkowa Lokalu:</w:t>
            </w:r>
          </w:p>
          <w:p w:rsidR="00000000" w:rsidDel="00000000" w:rsidP="00000000" w:rsidRDefault="00000000" w:rsidRPr="00000000" w14:paraId="000001B3">
            <w:pPr>
              <w:widowControl w:val="0"/>
              <w:numPr>
                <w:ilvl w:val="0"/>
                <w:numId w:val="14"/>
              </w:numPr>
              <w:pBdr>
                <w:top w:space="0" w:sz="0" w:val="nil"/>
                <w:left w:space="0" w:sz="0" w:val="nil"/>
                <w:bottom w:space="0" w:sz="0" w:val="nil"/>
                <w:right w:space="0" w:sz="0" w:val="nil"/>
                <w:between w:space="0" w:sz="0" w:val="nil"/>
              </w:pBdr>
              <w:spacing w:after="0" w:before="144" w:line="240" w:lineRule="auto"/>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będzie mniejsza niż projektowana powierzchnia użytkowa Lokalu określona w umowie deweloperskiej, wówczas Deweloper pomniejszy cenę proporcjonalnie do zmiany powierzchni użytkowej,</w:t>
            </w:r>
          </w:p>
          <w:p w:rsidR="00000000" w:rsidDel="00000000" w:rsidP="00000000" w:rsidRDefault="00000000" w:rsidRPr="00000000" w14:paraId="000001B4">
            <w:pPr>
              <w:widowControl w:val="0"/>
              <w:numPr>
                <w:ilvl w:val="0"/>
                <w:numId w:val="14"/>
              </w:numPr>
              <w:pBdr>
                <w:top w:space="0" w:sz="0" w:val="nil"/>
                <w:left w:space="0" w:sz="0" w:val="nil"/>
                <w:bottom w:space="0" w:sz="0" w:val="nil"/>
                <w:right w:space="0" w:sz="0" w:val="nil"/>
                <w:between w:space="0" w:sz="0" w:val="nil"/>
              </w:pBdr>
              <w:spacing w:after="144" w:line="240" w:lineRule="auto"/>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będzie większa niż projektowana powierzchnia użytkowa Lokalu określona w umowie deweloperskiej, wówczas postanowień pkt 1) powyżej nie stosuje się, wobec czego cena nie ulega zmianie, a Nabywca nie będzie zobowiązany do zapłaty różnicy związanej ze zmianą powierzchni użytkowej.</w:t>
            </w:r>
          </w:p>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spacing w:after="144" w:line="240" w:lineRule="auto"/>
              <w:jc w:val="both"/>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gridSpan w:val="3"/>
            <w:tcBorders>
              <w:bottom w:color="000000" w:space="0" w:sz="4" w:val="single"/>
            </w:tcBorders>
            <w:shd w:fill="e0e0e0" w:val="clear"/>
          </w:tcPr>
          <w:p w:rsidR="00000000" w:rsidDel="00000000" w:rsidP="00000000" w:rsidRDefault="00000000" w:rsidRPr="00000000" w14:paraId="000001B7">
            <w:pPr>
              <w:spacing w:after="144" w:before="144"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WARUNKI ODSTĄPIENIA OD UMOWY DEWELOPERSKIEJ LUB UMOWY, O KTÓREJ MOWA W ART. 2 UST. 1 PKT 2, 3 LUB 5 USTAWY Z DNIA 20 MAJA 2021 r. O OCHRONIE PRAW NABYWCY LOKALU MIESZKALNEGO LUB DOMU JEDNORODZINNEGO ORAZ O DEWELOPERSKIM FUNDUSZU GWARANCYJNYM (Dz.U. 2021 poz. 1177)</w:t>
            </w:r>
          </w:p>
          <w:p w:rsidR="00000000" w:rsidDel="00000000" w:rsidP="00000000" w:rsidRDefault="00000000" w:rsidRPr="00000000" w14:paraId="000001B8">
            <w:pPr>
              <w:spacing w:after="144" w:before="144" w:line="240" w:lineRule="auto"/>
              <w:jc w:val="both"/>
              <w:rPr>
                <w:rFonts w:ascii="Times New Roman" w:cs="Times New Roman" w:eastAsia="Times New Roman" w:hAnsi="Times New Roman"/>
                <w:b w:val="1"/>
                <w:bCs w:val="1"/>
                <w:sz w:val="20"/>
                <w:szCs w:val="20"/>
              </w:rPr>
            </w:pPr>
            <w:r w:rsidDel="00000000" w:rsidR="00000000" w:rsidRPr="00000000">
              <w:rPr>
                <w:rtl w:val="0"/>
              </w:rPr>
            </w:r>
          </w:p>
        </w:tc>
      </w:tr>
      <w:tr>
        <w:trPr>
          <w:cantSplit w:val="0"/>
          <w:trHeight w:val="1512" w:hRule="atLeast"/>
          <w:tblHeader w:val="0"/>
        </w:trPr>
        <w:tc>
          <w:tcPr>
            <w:tcBorders>
              <w:bottom w:color="000000" w:space="0" w:sz="4" w:val="single"/>
            </w:tcBorders>
            <w:shd w:fill="f3f3f3" w:val="clear"/>
          </w:tcPr>
          <w:p w:rsidR="00000000" w:rsidDel="00000000" w:rsidP="00000000" w:rsidRDefault="00000000" w:rsidRPr="00000000" w14:paraId="000001BB">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Warunki, na jakich można odstąpić od umowy deweloperskiej lub jednej z umów, o których mowa w art. 2 ust. 1 pkt 2, 3 lub 5 ustawy z dnia 20 maja 2021 r. o ochronie praw nabywcy lokalu mieszkalnego lub domu jednorodzinnego oraz Deweloperskim Funduszu Gwarancyjnym</w:t>
            </w:r>
          </w:p>
        </w:tc>
        <w:tc>
          <w:tcPr>
            <w:gridSpan w:val="2"/>
          </w:tcPr>
          <w:p w:rsidR="00000000" w:rsidDel="00000000" w:rsidP="00000000" w:rsidRDefault="00000000" w:rsidRPr="00000000" w14:paraId="000001BC">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 Nabywca może – stosownie do art. 43 ust. 1 ustawy z dnia 20 maja 2021 r. o ochronie praw nabywcy lokalu mieszkalnego lub domu jednorodzinnego oraz o Deweloperskim Funduszu Gwarancyjnym („Ustawa”) – odstąpić od umowy deweloperskiej</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1BD">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jeżeli umowa deweloperska nie zawiera elementów, o których mowa w art. 35 Ustawy, </w:t>
            </w:r>
          </w:p>
          <w:p w:rsidR="00000000" w:rsidDel="00000000" w:rsidP="00000000" w:rsidRDefault="00000000" w:rsidRPr="00000000" w14:paraId="000001BE">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jeżeli informacje zawarte w umowie deweloperskiej nie są zgodne z informacjami zawartymi w prospekcie informacyjnym lub w załącznikach, za wyjątkiem zmian, o których mowa w art. 35 ust. 2 Ustawy,</w:t>
            </w:r>
          </w:p>
          <w:p w:rsidR="00000000" w:rsidDel="00000000" w:rsidP="00000000" w:rsidRDefault="00000000" w:rsidRPr="00000000" w14:paraId="000001BF">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jeżeli Deweloper nie doręczył Nabywcy, zgodnie z art. 21 i 22 Ustawy, prospektu informacyjnego wraz z załącznikami lub informacji o zmianie danych lub informacji zawartych w prospekcie informacyjnym lub jego załącznikach,</w:t>
            </w:r>
          </w:p>
          <w:p w:rsidR="00000000" w:rsidDel="00000000" w:rsidP="00000000" w:rsidRDefault="00000000" w:rsidRPr="00000000" w14:paraId="000001C0">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jeżeli dane lub informacje zawarte w prospekcie informacyjnym lub w załącznikach, na podstawie których zawarto umowę deweloperską, są niezgodne ze stanem faktycznym i prawnym w dniu podpisania umowy deweloperskiej,</w:t>
            </w:r>
          </w:p>
          <w:p w:rsidR="00000000" w:rsidDel="00000000" w:rsidP="00000000" w:rsidRDefault="00000000" w:rsidRPr="00000000" w14:paraId="000001C1">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jeżeli prospekt informacyjny, na podstawie którego zawarto umowę deweloperską nie zawiera informacji określonych we wzorze prospektu informacyjnego stanowiącym załącznik do Ustawy,</w:t>
            </w:r>
          </w:p>
          <w:p w:rsidR="00000000" w:rsidDel="00000000" w:rsidP="00000000" w:rsidRDefault="00000000" w:rsidRPr="00000000" w14:paraId="000001C2">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w przypadku nieprzeniesienia na Nabywcę własności Lokalu w terminie określonym w umowie deweloperskiej,</w:t>
            </w:r>
          </w:p>
          <w:p w:rsidR="00000000" w:rsidDel="00000000" w:rsidP="00000000" w:rsidRDefault="00000000" w:rsidRPr="00000000" w14:paraId="000001C3">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w przypadku gdy Deweloper nie zawrze umowy mieszkaniowego rachunku powierniczego z innym bankiem w trybie i terminie, o których mowa w art. 10 ust. 1 Ustawy,</w:t>
            </w:r>
          </w:p>
          <w:p w:rsidR="00000000" w:rsidDel="00000000" w:rsidP="00000000" w:rsidRDefault="00000000" w:rsidRPr="00000000" w14:paraId="000001C4">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w przypadku gdy Deweloper nie posiada zgody wierzyciela hipotecznego lub zobowiązania do jej udzielenia, o których mowa w art. 25 ust. 1 pkt 1 lub 2 Ustawy,-</w:t>
            </w:r>
          </w:p>
          <w:p w:rsidR="00000000" w:rsidDel="00000000" w:rsidP="00000000" w:rsidRDefault="00000000" w:rsidRPr="00000000" w14:paraId="000001C5">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w przypadku niewykonania przez Dewelopera obowiązku, o którym mowa w art. 12 ust. 2 Ustawy, w terminie określonym w tym przepisie,</w:t>
            </w:r>
          </w:p>
          <w:p w:rsidR="00000000" w:rsidDel="00000000" w:rsidP="00000000" w:rsidRDefault="00000000" w:rsidRPr="00000000" w14:paraId="000001C6">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w przypadku nieusunięcia przez Dewelopera wady istotnej Lokalu na zasadach określonych w art. 41 ust. 11 Ustawy,</w:t>
            </w:r>
          </w:p>
          <w:p w:rsidR="00000000" w:rsidDel="00000000" w:rsidP="00000000" w:rsidRDefault="00000000" w:rsidRPr="00000000" w14:paraId="000001C7">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w przypadku stwierdzenia przez rzeczoznawcę istnienia wady istotnej, o którym mowa w art. 41 ust. 15 Ustawy,</w:t>
            </w:r>
          </w:p>
          <w:p w:rsidR="00000000" w:rsidDel="00000000" w:rsidP="00000000" w:rsidRDefault="00000000" w:rsidRPr="00000000" w14:paraId="000001C8">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jeżeli syndyk zażądał wykonania umowy na podstawie art. 98 ustawy z dnia 28 lutego 2003 r. – Prawo upadłościowe (tekst jednolity: Dz. U. 2025 roku, poz. 614 ze zm.), </w:t>
            </w:r>
          </w:p>
          <w:p w:rsidR="00000000" w:rsidDel="00000000" w:rsidP="00000000" w:rsidRDefault="00000000" w:rsidRPr="00000000" w14:paraId="000001C9">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jeżeli nastąpiła zmiana stawka podatku VAT, o czym mowa w pkt 8.7. umowy deweloperskiej.</w:t>
            </w:r>
          </w:p>
          <w:p w:rsidR="00000000" w:rsidDel="00000000" w:rsidP="00000000" w:rsidRDefault="00000000" w:rsidRPr="00000000" w14:paraId="000001CA">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 przypadkach, o których mowa w pkt 1)–5) powyżej, Nabywca ma prawo do odstąpienia od umowy deweloperskiej w terminie 30 (trzydziestu) dni od dnia jej zawarcia.</w:t>
            </w:r>
          </w:p>
          <w:p w:rsidR="00000000" w:rsidDel="00000000" w:rsidP="00000000" w:rsidRDefault="00000000" w:rsidRPr="00000000" w14:paraId="000001CB">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 przypadku, o którym mowa w pkt 6) powyżej, przed skorzystaniem z prawa do odstąpienia od umowy deweloperskiej Nabywca wyznacza Deweloperowi 120 (stu dwudziesto)-dniowy termin na przeniesienie własności przedmiotu umowy deweloperskiej, a w razie bezskutecznego upływu wyznaczonego terminu będzie uprawniony do odstąpienia od umowy deweloperskiej.</w:t>
            </w:r>
          </w:p>
          <w:p w:rsidR="00000000" w:rsidDel="00000000" w:rsidP="00000000" w:rsidRDefault="00000000" w:rsidRPr="00000000" w14:paraId="000001CC">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 przypadku, o którym mowa w pkt 7) powyżej, Nabywca ma prawo do odstąpienia od umowy deweloperskiej po dokonaniu przez bank zwrotu środków zgodnie z art. 10 ust. 3 Ustawy.</w:t>
            </w:r>
          </w:p>
          <w:p w:rsidR="00000000" w:rsidDel="00000000" w:rsidP="00000000" w:rsidRDefault="00000000" w:rsidRPr="00000000" w14:paraId="000001CD">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 przypadku, o którym mowa w pkt 8) powyżej, Nabywca ma prawo do odstąpienia od umowy deweloperskiej w terminie 60 (sześćdziesięciu) dni od dnia jej zawarcia.</w:t>
            </w:r>
          </w:p>
          <w:p w:rsidR="00000000" w:rsidDel="00000000" w:rsidP="00000000" w:rsidRDefault="00000000" w:rsidRPr="00000000" w14:paraId="000001CE">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 przypadku, o którym mowa w pkt 9) powyżej, Nabywca ma prawo odstąpienia od umowy deweloperskiej po upływie 60 (sześćdziesięciu) dni od dnia podania do publicznej wiadomości informacji, o których mowa w art. 12 ust. 1 Ustawy.</w:t>
            </w:r>
          </w:p>
          <w:p w:rsidR="00000000" w:rsidDel="00000000" w:rsidP="00000000" w:rsidRDefault="00000000" w:rsidRPr="00000000" w14:paraId="000001CF">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 przypadkach, o których mowa w pkt 10)–12) powyżej, Nabywca ma prawo do odstąpienia od umowy deweloperskiej najpóźniej przed zawarciem Umowy Przeniesienia Własności.</w:t>
            </w:r>
          </w:p>
          <w:p w:rsidR="00000000" w:rsidDel="00000000" w:rsidP="00000000" w:rsidRDefault="00000000" w:rsidRPr="00000000" w14:paraId="000001D0">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 przypadku, o którym mowa w pkt 13) powyżej, Nabywca ma prawo do odstąpienia od umowy deweloperskiej w terminie miesiąca od doręczenia mu zawiadomienia o zmianie Ceny, nie później niż do dnia poprzedzającego dzień zawarcia Umowy Przeniesienia Własności</w:t>
            </w:r>
          </w:p>
          <w:p w:rsidR="00000000" w:rsidDel="00000000" w:rsidP="00000000" w:rsidRDefault="00000000" w:rsidRPr="00000000" w14:paraId="000001D1">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 przypadku skorzystania przez Nabywcę z prawa odstąpienia, o którym mowa w pkt 1 powyżej, umowa deweloperska uważana jest za niezawartą, a Nabywca nie ponosi żadnych kosztów związanych z odstąpieniem od umowy deweloperskiej.</w:t>
            </w:r>
          </w:p>
          <w:p w:rsidR="00000000" w:rsidDel="00000000" w:rsidP="00000000" w:rsidRDefault="00000000" w:rsidRPr="00000000" w14:paraId="000001D2">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Oświadczenie woli Nabywcy o odstąpieniu od umowy deweloperskiej jest skuteczne, jeżeli zawiera zgodę na wykreślenie roszczenia określonego w art. 38 ust. 2 pkt. 1 Ustawy złożone w formie pisemnej z podpisami notarialnie poświadczonymi.</w:t>
            </w:r>
          </w:p>
          <w:p w:rsidR="00000000" w:rsidDel="00000000" w:rsidP="00000000" w:rsidRDefault="00000000" w:rsidRPr="00000000" w14:paraId="000001D3">
            <w:pPr>
              <w:spacing w:after="144" w:before="144"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D4">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2. Deweloper ma prawo – stosownie do art. 43 ust. 7 i 8 Ustawy– odstąpić od umowy deweloperskiej w przypadku</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1D5">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niespełnienia przez Nabywcę świadczenia pieniężnego w terminie lub wysokości określonej w umowie deweloperskiej, mimo wezwania Nabywcy w formie pisemnej do uiszczenia zaległych kwot w terminie 30 (trzydziestu) dni od dnia doręczenia wezwania, chyba że niespełnienie przez Nabywcę świadczenia pieniężnego jest spowodowane działaniem siły wyższej,</w:t>
            </w:r>
          </w:p>
          <w:p w:rsidR="00000000" w:rsidDel="00000000" w:rsidP="00000000" w:rsidRDefault="00000000" w:rsidRPr="00000000" w14:paraId="000001D6">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niestawienia się Nabywcy do odbioru Lokalu lub podpisania aktu notarialnego przenoszącego na Nabywcę własność Lokalu, pomimo dwukrotnego doręczenia wezwania w formie pisemnej w odstępie co najmniej 60 (sześćdziesięciu) dni, chyba że niestawienie się Nabywcy jest spowodowane działaniem siły wyższej.</w:t>
            </w:r>
          </w:p>
          <w:p w:rsidR="00000000" w:rsidDel="00000000" w:rsidP="00000000" w:rsidRDefault="00000000" w:rsidRPr="00000000" w14:paraId="000001D7">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 przypadku odstąpienia od umowy deweloperskiej przez Dewelopera na podstawie art. 43 ust. 7 i 8 Ustawy Nabywca zobowiązany jest wyrazić zgodę na wykreślenie roszczenia, o którym mowa w art. 38 ust. 2 Ustawy (w formie pisemnej z podpisem notarialnie poświadczonym) i doręczyć ten dokument Deweloperowi w terminie 7 (siedmiu) dni od dnia doręczenia Nabywcy oświadczenia woli Dewelopera o odstąpieniu od umowy deweloperskiej.</w:t>
            </w:r>
          </w:p>
          <w:p w:rsidR="00000000" w:rsidDel="00000000" w:rsidP="00000000" w:rsidRDefault="00000000" w:rsidRPr="00000000" w14:paraId="000001D8">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 przypadku odstąpienia na podstawie art. 43 od umowy deweloperskiej przez jedną ze Stron, bank wypłaca Nabywcy przypadające mu środki pieniężne pozostałe na mieszkaniowym rachunku powierniczym w nominalnej wysokości niezwłocznie po otrzymaniu oświadczenia o odstąpieniu od umowy deweloperskiej.</w:t>
            </w:r>
          </w:p>
          <w:p w:rsidR="00000000" w:rsidDel="00000000" w:rsidP="00000000" w:rsidRDefault="00000000" w:rsidRPr="00000000" w14:paraId="000001D9">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Deweloper ma obowiązek niezwłocznie, jednak nie później niż w terminie 30 (trzydziestu) dni od dnia otrzymania oświadczenia Nabywcy o odstąpieniu od umowy deweloperskiej, zwrócić Nabywcy środki wypłacone Deweloperowi przez Bank z otwartego mieszkaniowego rachunku powierniczego w związku z realizacją umowy deweloperskiej.</w:t>
            </w:r>
          </w:p>
        </w:tc>
      </w:tr>
      <w:tr>
        <w:trPr>
          <w:cantSplit w:val="0"/>
          <w:trHeight w:val="510" w:hRule="atLeast"/>
          <w:tblHeader w:val="0"/>
        </w:trPr>
        <w:tc>
          <w:tcPr>
            <w:gridSpan w:val="3"/>
            <w:tcBorders>
              <w:bottom w:color="000000" w:space="0" w:sz="4" w:val="single"/>
            </w:tcBorders>
            <w:shd w:fill="d9d9d9" w:val="clear"/>
          </w:tcPr>
          <w:p w:rsidR="00000000" w:rsidDel="00000000" w:rsidP="00000000" w:rsidRDefault="00000000" w:rsidRPr="00000000" w14:paraId="000001DB">
            <w:pPr>
              <w:spacing w:after="144" w:before="144"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INNE INFORMACJE</w:t>
            </w:r>
            <w:r w:rsidDel="00000000" w:rsidR="00000000" w:rsidRPr="00000000">
              <w:rPr>
                <w:rFonts w:ascii="Times New Roman" w:cs="Times New Roman" w:eastAsia="Times New Roman" w:hAnsi="Times New Roman"/>
                <w:b w:val="1"/>
                <w:bCs w:val="1"/>
                <w:sz w:val="20"/>
                <w:szCs w:val="20"/>
                <w:vertAlign w:val="superscript"/>
              </w:rPr>
              <w:footnoteReference w:customMarkFollows="0" w:id="8"/>
            </w:r>
            <w:r w:rsidDel="00000000" w:rsidR="00000000" w:rsidRPr="00000000">
              <w:rPr>
                <w:rtl w:val="0"/>
              </w:rPr>
            </w:r>
          </w:p>
        </w:tc>
      </w:tr>
      <w:tr>
        <w:trPr>
          <w:cantSplit w:val="0"/>
          <w:trHeight w:val="1512" w:hRule="atLeast"/>
          <w:tblHeader w:val="0"/>
        </w:trPr>
        <w:tc>
          <w:tcPr>
            <w:gridSpan w:val="3"/>
            <w:tcBorders>
              <w:bottom w:color="000000" w:space="0" w:sz="0" w:val="nil"/>
            </w:tcBorders>
            <w:shd w:fill="f3f3f3" w:val="clear"/>
          </w:tcPr>
          <w:p w:rsidR="00000000" w:rsidDel="00000000" w:rsidP="00000000" w:rsidRDefault="00000000" w:rsidRPr="00000000" w14:paraId="000001DE">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Informacja o:</w:t>
            </w:r>
          </w:p>
          <w:p w:rsidR="00000000" w:rsidDel="00000000" w:rsidP="00000000" w:rsidRDefault="00000000" w:rsidRPr="00000000" w14:paraId="000001DF">
            <w:pPr>
              <w:spacing w:after="144" w:before="144" w:line="240" w:lineRule="auto"/>
              <w:ind w:left="313" w:hanging="31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tab/>
              <w:t xml:space="preserve">zgodzie banku lub innego wierzyciela hipotecznego na bezobciążeniowe ustanowienie odrębnej własności lokalu mieszkalnego i przeniesienie jego własności na nabywcę po wpłacie pełnej ceny przez nabywcę lub zobowiązanie do jej udzielenia, jeżeli takie obciążenie istnieje, albo zgodzie banku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 </w:t>
            </w:r>
          </w:p>
          <w:p w:rsidR="00000000" w:rsidDel="00000000" w:rsidP="00000000" w:rsidRDefault="00000000" w:rsidRPr="00000000" w14:paraId="000001E0">
            <w:pPr>
              <w:spacing w:after="144" w:before="144" w:line="240" w:lineRule="auto"/>
              <w:ind w:left="313" w:hanging="31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tab/>
              <w:t xml:space="preserve">w przypadku umów, o których mowa w art. 2 ust. 2 ustawy z dnia 20 maja 2021 roku o ochronie praw nabywcy lokalu mieszkalnego lub domu jednorodzinnego oraz o Deweloperskim Funduszu Gwarancyjnym, o zgodzie banku lub innego wierzyciela hipotecznego na bezobciążeniowe przeniesienie własności lokalu użytkowego na nabywcę po wpłacie pełnej ceny przez nabywcę lub zobowiązanie do udzielenia takiej zgody, jeżeli takie obciążenie istnieje, albo zgodzie banku lub innego wierzyciela hipotecznego na bezobciążeniowe przeniesienie na nabywcę ułamkowej części własności lokalu użytkowego po wpłacie pełnej ceny przez nabywcę lub zobowiązanie do udzielenia takiej zgody, jeżeli takie obciążenie istnieje.</w:t>
            </w:r>
          </w:p>
        </w:tc>
      </w:tr>
      <w:tr>
        <w:trPr>
          <w:cantSplit w:val="0"/>
          <w:trHeight w:val="1512" w:hRule="atLeast"/>
          <w:tblHeader w:val="0"/>
        </w:trPr>
        <w:tc>
          <w:tcPr>
            <w:gridSpan w:val="3"/>
            <w:tcBorders>
              <w:top w:color="000000" w:space="0" w:sz="0" w:val="nil"/>
              <w:bottom w:color="000000" w:space="0" w:sz="0" w:val="nil"/>
            </w:tcBorders>
            <w:shd w:fill="ffffff" w:val="clear"/>
          </w:tcPr>
          <w:p w:rsidR="00000000" w:rsidDel="00000000" w:rsidP="00000000" w:rsidRDefault="00000000" w:rsidRPr="00000000" w14:paraId="000001E3">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II. Informacja o możliwości zapoznania się w lokalu przedsiębiorstwa przez osobę zainteresowaną zawarciem umowy odpowiednio do zakresu umowy z:</w:t>
            </w:r>
          </w:p>
          <w:p w:rsidR="00000000" w:rsidDel="00000000" w:rsidP="00000000" w:rsidRDefault="00000000" w:rsidRPr="00000000" w14:paraId="000001E4">
            <w:pPr>
              <w:widowControl w:val="0"/>
              <w:numPr>
                <w:ilvl w:val="0"/>
                <w:numId w:val="6"/>
              </w:numPr>
              <w:spacing w:after="0" w:before="144" w:line="240" w:lineRule="auto"/>
              <w:ind w:left="738" w:hanging="37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aktualnym stanem księgi wieczystej;</w:t>
            </w:r>
          </w:p>
          <w:p w:rsidR="00000000" w:rsidDel="00000000" w:rsidP="00000000" w:rsidRDefault="00000000" w:rsidRPr="00000000" w14:paraId="000001E5">
            <w:pPr>
              <w:widowControl w:val="0"/>
              <w:numPr>
                <w:ilvl w:val="0"/>
                <w:numId w:val="6"/>
              </w:numPr>
              <w:spacing w:after="0" w:line="240" w:lineRule="auto"/>
              <w:ind w:left="738" w:hanging="37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aktualnym odpisem, wyciągiem, zaświadczeniem lub wydrukiem komputerowym z Centralnej Informacji Krajowego Rejestru Sądowego, jeśli podmiot podlega wpisowi do Krajowego Rejestru Sądowego, albo aktualnym zaświadczeniem o wpisie do Centralnej Ewidencji i Informacji o Działalności Gospodarczej lub wydrukiem ze strony internetowej tej ewidencji;</w:t>
            </w:r>
          </w:p>
          <w:p w:rsidR="00000000" w:rsidDel="00000000" w:rsidP="00000000" w:rsidRDefault="00000000" w:rsidRPr="00000000" w14:paraId="000001E6">
            <w:pPr>
              <w:widowControl w:val="0"/>
              <w:numPr>
                <w:ilvl w:val="0"/>
                <w:numId w:val="6"/>
              </w:numPr>
              <w:spacing w:after="0" w:line="240" w:lineRule="auto"/>
              <w:ind w:left="738" w:hanging="37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kopią decyzji o pozwoleniu na budowę;</w:t>
            </w:r>
          </w:p>
          <w:p w:rsidR="00000000" w:rsidDel="00000000" w:rsidP="00000000" w:rsidRDefault="00000000" w:rsidRPr="00000000" w14:paraId="000001E7">
            <w:pPr>
              <w:widowControl w:val="0"/>
              <w:numPr>
                <w:ilvl w:val="0"/>
                <w:numId w:val="6"/>
              </w:numPr>
              <w:spacing w:after="0" w:line="240" w:lineRule="auto"/>
              <w:ind w:left="738" w:hanging="37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sprawozdaniem finansowym dewelopera za ostatnie dwa lata, a w przypadku realizacji inwestycji przez spółkę celową – sprawozdaniem spółki dominującej oraz spółki celowej;</w:t>
            </w:r>
          </w:p>
          <w:p w:rsidR="00000000" w:rsidDel="00000000" w:rsidP="00000000" w:rsidRDefault="00000000" w:rsidRPr="00000000" w14:paraId="000001E8">
            <w:pPr>
              <w:widowControl w:val="0"/>
              <w:numPr>
                <w:ilvl w:val="0"/>
                <w:numId w:val="6"/>
              </w:numPr>
              <w:spacing w:after="0" w:line="240" w:lineRule="auto"/>
              <w:ind w:left="738" w:hanging="37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projektem budowlanym;</w:t>
            </w:r>
          </w:p>
          <w:p w:rsidR="00000000" w:rsidDel="00000000" w:rsidP="00000000" w:rsidRDefault="00000000" w:rsidRPr="00000000" w14:paraId="000001E9">
            <w:pPr>
              <w:widowControl w:val="0"/>
              <w:numPr>
                <w:ilvl w:val="0"/>
                <w:numId w:val="6"/>
              </w:numPr>
              <w:spacing w:after="0" w:line="240" w:lineRule="auto"/>
              <w:ind w:left="738" w:hanging="37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kopią decyzji o pozwoleniu na użytkowanie budynku;</w:t>
            </w:r>
          </w:p>
          <w:p w:rsidR="00000000" w:rsidDel="00000000" w:rsidP="00000000" w:rsidRDefault="00000000" w:rsidRPr="00000000" w14:paraId="000001EA">
            <w:pPr>
              <w:widowControl w:val="0"/>
              <w:numPr>
                <w:ilvl w:val="0"/>
                <w:numId w:val="6"/>
              </w:numPr>
              <w:spacing w:after="0" w:line="240" w:lineRule="auto"/>
              <w:ind w:left="738" w:hanging="37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zaświadczeniem o samodzielności lokalu;</w:t>
            </w:r>
          </w:p>
          <w:p w:rsidR="00000000" w:rsidDel="00000000" w:rsidP="00000000" w:rsidRDefault="00000000" w:rsidRPr="00000000" w14:paraId="000001EB">
            <w:pPr>
              <w:widowControl w:val="0"/>
              <w:numPr>
                <w:ilvl w:val="0"/>
                <w:numId w:val="6"/>
              </w:numPr>
              <w:spacing w:after="0" w:line="240" w:lineRule="auto"/>
              <w:ind w:left="738" w:hanging="37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aktem ustanowienia odrębnej własności lokalu;</w:t>
            </w:r>
          </w:p>
          <w:p w:rsidR="00000000" w:rsidDel="00000000" w:rsidP="00000000" w:rsidRDefault="00000000" w:rsidRPr="00000000" w14:paraId="000001EC">
            <w:pPr>
              <w:widowControl w:val="0"/>
              <w:numPr>
                <w:ilvl w:val="0"/>
                <w:numId w:val="6"/>
              </w:numPr>
              <w:spacing w:after="0" w:line="240" w:lineRule="auto"/>
              <w:ind w:left="738" w:hanging="37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dokumentem potwierdzającym:</w:t>
            </w:r>
          </w:p>
          <w:p w:rsidR="00000000" w:rsidDel="00000000" w:rsidP="00000000" w:rsidRDefault="00000000" w:rsidRPr="00000000" w14:paraId="000001ED">
            <w:pPr>
              <w:widowControl w:val="0"/>
              <w:numPr>
                <w:ilvl w:val="0"/>
                <w:numId w:val="7"/>
              </w:numPr>
              <w:spacing w:after="0" w:line="240" w:lineRule="auto"/>
              <w:ind w:left="1163" w:hanging="42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zgodę banku lub innego wierzyciela hipotecznego na bezobciążeniowe ustanowienie odrębnej własności lokalu mieszkalnego i przeniesienie jego własności na nabywcę po wpłacie pełnej ceny przez nabywcę lub zobowiązaniem do jej udzielenia, jeżeli takie obciążenie istnieje, albo zgodą banku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zobowiązaniem do jej udzielenia, jeżeli takie obciążenie istnieje, </w:t>
            </w:r>
          </w:p>
          <w:p w:rsidR="00000000" w:rsidDel="00000000" w:rsidP="00000000" w:rsidRDefault="00000000" w:rsidRPr="00000000" w14:paraId="000001EE">
            <w:pPr>
              <w:widowControl w:val="0"/>
              <w:numPr>
                <w:ilvl w:val="0"/>
                <w:numId w:val="7"/>
              </w:numPr>
              <w:spacing w:after="144" w:line="240" w:lineRule="auto"/>
              <w:ind w:left="1163" w:hanging="42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 przypadku umów, o których mowa w art. 2 ust. 2 z dnia 20 maja 2021 roku o ochronie praw nabywcy lokalu mieszkalnego lub domu jednorodzinnego oraz o Deweloperskim Funduszu Gwarancyjnym, zgodą banku lub innego wierzyciela hipotecznego na bezobciążeniowe przeniesienie własności lokalu użytkowego na nabywcę po wpłacie pełnej ceny przez nabywcę lub zobowiązaniem do udzielenia takiej zgody, jeżeli takie obciążenie istnieje, albo zgodą banku lub innego wierzyciela hipotecznego na bezobciążeniowe przeniesienie na nabywcę ułamkowej części własności lokalu użytkowego po wpłacie pełnej ceny przez nabywcę lub zobowiązaniem do udzielenia takiej zgody, jeżeli takie obciążenie istnieje.</w:t>
            </w:r>
          </w:p>
        </w:tc>
      </w:tr>
      <w:tr>
        <w:trPr>
          <w:cantSplit w:val="0"/>
          <w:trHeight w:val="1512" w:hRule="atLeast"/>
          <w:tblHeader w:val="0"/>
        </w:trPr>
        <w:tc>
          <w:tcPr>
            <w:gridSpan w:val="3"/>
            <w:tcBorders>
              <w:top w:color="000000" w:space="0" w:sz="0" w:val="nil"/>
            </w:tcBorders>
            <w:shd w:fill="ffffff" w:val="clear"/>
          </w:tcPr>
          <w:p w:rsidR="00000000" w:rsidDel="00000000" w:rsidP="00000000" w:rsidRDefault="00000000" w:rsidRPr="00000000" w14:paraId="000001F1">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III. Informacja:</w:t>
            </w:r>
          </w:p>
          <w:p w:rsidR="00000000" w:rsidDel="00000000" w:rsidP="00000000" w:rsidRDefault="00000000" w:rsidRPr="00000000" w14:paraId="000001F2">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Środki pieniężne zgromadzone w</w:t>
            </w:r>
            <w:r w:rsidDel="00000000" w:rsidR="00000000" w:rsidRPr="00000000">
              <w:rPr>
                <w:rFonts w:ascii="Times New Roman" w:cs="Times New Roman" w:eastAsia="Times New Roman" w:hAnsi="Times New Roman"/>
                <w:sz w:val="20"/>
                <w:szCs w:val="20"/>
                <w:highlight w:val="yellow"/>
                <w:rtl w:val="0"/>
              </w:rPr>
              <w:t xml:space="preserve">…</w:t>
            </w:r>
            <w:r w:rsidDel="00000000" w:rsidR="00000000" w:rsidRPr="00000000">
              <w:rPr>
                <w:rFonts w:ascii="Times New Roman" w:cs="Times New Roman" w:eastAsia="Times New Roman" w:hAnsi="Times New Roman"/>
                <w:sz w:val="20"/>
                <w:szCs w:val="20"/>
                <w:rtl w:val="0"/>
              </w:rPr>
              <w:t xml:space="preserve"> [nazwa banku prowadzącego mieszkaniowy rachunek powierniczy], prowadzącym otwarty mieszkaniowy rachunek powierniczy albo zamknięty mieszkaniowy rachunek powierniczy, są objęte ochroną obowiązkowego systemu gwarantowania depozytów, na zasadach określonych w ustawie z dnia 10 czerwca 2016 r. o Bankowym Funduszu Gwarancyjnym, systemie gwarantowania depozytów oraz przymusowej restrukturyzacji (Dz. U. z 2020 r. poz. 842).</w:t>
            </w:r>
          </w:p>
          <w:p w:rsidR="00000000" w:rsidDel="00000000" w:rsidP="00000000" w:rsidRDefault="00000000" w:rsidRPr="00000000" w14:paraId="000001F3">
            <w:pPr>
              <w:spacing w:after="144" w:before="144"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4">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Informacje podstawowe o obowiązkowym systemie gwarantowania depozytów:</w:t>
            </w:r>
          </w:p>
          <w:p w:rsidR="00000000" w:rsidDel="00000000" w:rsidP="00000000" w:rsidRDefault="00000000" w:rsidRPr="00000000" w14:paraId="000001F5">
            <w:pPr>
              <w:spacing w:after="144" w:before="144" w:line="240" w:lineRule="auto"/>
              <w:ind w:left="313" w:hanging="31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ochrona środków dotyczy sytuacji spełnienia warunku gwarancji wobec </w:t>
            </w:r>
            <w:r w:rsidDel="00000000" w:rsidR="00000000" w:rsidRPr="00000000">
              <w:rPr>
                <w:rFonts w:ascii="Times New Roman" w:cs="Times New Roman" w:eastAsia="Times New Roman" w:hAnsi="Times New Roman"/>
                <w:sz w:val="20"/>
                <w:szCs w:val="20"/>
                <w:highlight w:val="yellow"/>
                <w:rtl w:val="0"/>
              </w:rPr>
              <w:t xml:space="preserve">…………</w:t>
            </w:r>
            <w:r w:rsidDel="00000000" w:rsidR="00000000" w:rsidRPr="00000000">
              <w:rPr>
                <w:rFonts w:ascii="Times New Roman" w:cs="Times New Roman" w:eastAsia="Times New Roman" w:hAnsi="Times New Roman"/>
                <w:sz w:val="20"/>
                <w:szCs w:val="20"/>
                <w:rtl w:val="0"/>
              </w:rPr>
              <w:t xml:space="preserve"> [nazwa banku prowadzącego mieszkaniowy rachunek powierniczy],</w:t>
            </w:r>
          </w:p>
          <w:p w:rsidR="00000000" w:rsidDel="00000000" w:rsidP="00000000" w:rsidRDefault="00000000" w:rsidRPr="00000000" w14:paraId="000001F6">
            <w:pPr>
              <w:spacing w:after="144" w:before="144" w:line="240" w:lineRule="auto"/>
              <w:ind w:left="313" w:hanging="31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w:t>
            </w:r>
          </w:p>
          <w:p w:rsidR="00000000" w:rsidDel="00000000" w:rsidP="00000000" w:rsidRDefault="00000000" w:rsidRPr="00000000" w14:paraId="000001F7">
            <w:pPr>
              <w:spacing w:after="144" w:before="144" w:line="240" w:lineRule="auto"/>
              <w:ind w:left="313" w:hanging="31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 złotych 100 000 euro,</w:t>
            </w:r>
          </w:p>
          <w:p w:rsidR="00000000" w:rsidDel="00000000" w:rsidP="00000000" w:rsidRDefault="00000000" w:rsidRPr="00000000" w14:paraId="000001F8">
            <w:pPr>
              <w:spacing w:after="144" w:before="144" w:line="240" w:lineRule="auto"/>
              <w:ind w:left="313" w:hanging="31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 powierniczym,</w:t>
            </w:r>
          </w:p>
          <w:p w:rsidR="00000000" w:rsidDel="00000000" w:rsidP="00000000" w:rsidRDefault="00000000" w:rsidRPr="00000000" w14:paraId="000001F9">
            <w:pPr>
              <w:spacing w:after="144" w:before="144" w:line="240" w:lineRule="auto"/>
              <w:ind w:left="313" w:hanging="31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wypłata środków gwarantowanych – co do zasady – następuje w terminie 7 dni roboczych od dnia spełnienia warunku gwarancji wobec banku,</w:t>
            </w:r>
          </w:p>
          <w:p w:rsidR="00000000" w:rsidDel="00000000" w:rsidP="00000000" w:rsidRDefault="00000000" w:rsidRPr="00000000" w14:paraId="000001FA">
            <w:pPr>
              <w:spacing w:after="144" w:before="144" w:line="240" w:lineRule="auto"/>
              <w:ind w:left="313" w:hanging="31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wypłata środków gwarantowanych jest dokonywana w złotych,</w:t>
            </w:r>
          </w:p>
          <w:p w:rsidR="00000000" w:rsidDel="00000000" w:rsidP="00000000" w:rsidRDefault="00000000" w:rsidRPr="00000000" w14:paraId="000001FB">
            <w:pPr>
              <w:spacing w:after="144" w:before="144" w:line="240" w:lineRule="auto"/>
              <w:ind w:left="313" w:hanging="31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r>
            <w:r w:rsidDel="00000000" w:rsidR="00000000" w:rsidRPr="00000000">
              <w:rPr>
                <w:rFonts w:ascii="Times New Roman" w:cs="Times New Roman" w:eastAsia="Times New Roman" w:hAnsi="Times New Roman"/>
                <w:sz w:val="20"/>
                <w:szCs w:val="20"/>
                <w:highlight w:val="yellow"/>
                <w:rtl w:val="0"/>
              </w:rPr>
              <w:t xml:space="preserve">…………</w:t>
            </w:r>
            <w:r w:rsidDel="00000000" w:rsidR="00000000" w:rsidRPr="00000000">
              <w:rPr>
                <w:rFonts w:ascii="Times New Roman" w:cs="Times New Roman" w:eastAsia="Times New Roman" w:hAnsi="Times New Roman"/>
                <w:sz w:val="20"/>
                <w:szCs w:val="20"/>
                <w:rtl w:val="0"/>
              </w:rPr>
              <w:t xml:space="preserve"> [nazwa banku prowadzącego mieszkaniowy rachunek powierniczy] korzysta także z następujących znaków towarowych: </w:t>
            </w:r>
            <w:r w:rsidDel="00000000" w:rsidR="00000000" w:rsidRPr="00000000">
              <w:rPr>
                <w:rFonts w:ascii="Times New Roman" w:cs="Times New Roman" w:eastAsia="Times New Roman" w:hAnsi="Times New Roman"/>
                <w:sz w:val="20"/>
                <w:szCs w:val="20"/>
                <w:highlight w:val="yellow"/>
                <w:rtl w:val="0"/>
              </w:rPr>
              <w:t xml:space="preserve">…………</w:t>
            </w:r>
            <w:r w:rsidDel="00000000" w:rsidR="00000000" w:rsidRPr="00000000">
              <w:rPr>
                <w:rtl w:val="0"/>
              </w:rPr>
            </w:r>
          </w:p>
          <w:p w:rsidR="00000000" w:rsidDel="00000000" w:rsidP="00000000" w:rsidRDefault="00000000" w:rsidRPr="00000000" w14:paraId="000001FC">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Dalsze informacje na temat systemu gwarantowania depozytów można uzyskać na stronie internetowej Bankowego Funduszu Gwarancyjnego: https://www.bfg.pl/.</w:t>
            </w:r>
          </w:p>
          <w:p w:rsidR="00000000" w:rsidDel="00000000" w:rsidP="00000000" w:rsidRDefault="00000000" w:rsidRPr="00000000" w14:paraId="000001FD">
            <w:pPr>
              <w:widowControl w:val="0"/>
              <w:numPr>
                <w:ilvl w:val="0"/>
                <w:numId w:val="5"/>
              </w:numPr>
              <w:tabs>
                <w:tab w:val="left" w:leader="none" w:pos="728"/>
              </w:tabs>
              <w:spacing w:after="0" w:before="144" w:line="240" w:lineRule="auto"/>
              <w:ind w:left="30" w:hanging="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Informacja zamieszczana w przypadku zawarcia umowy mieszkaniowego rachunku powierniczego z oddziałem instytucji kredytowej, o której mowa w art. 4 ust. 1 pkt 18 ustawy z dnia 29 sierpnia 1997 r. – Prawo bankowe (Dz. U. z 2020 r. poz. 1896, 2320 i 2419).</w:t>
            </w:r>
          </w:p>
          <w:p w:rsidR="00000000" w:rsidDel="00000000" w:rsidP="00000000" w:rsidRDefault="00000000" w:rsidRPr="00000000" w14:paraId="000001FE">
            <w:pPr>
              <w:spacing w:after="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p>
        </w:tc>
      </w:tr>
    </w:tbl>
    <w:p w:rsidR="00000000" w:rsidDel="00000000" w:rsidP="00000000" w:rsidRDefault="00000000" w:rsidRPr="00000000" w14:paraId="00000201">
      <w:pPr>
        <w:spacing w:after="144" w:before="144" w:line="240" w:lineRule="auto"/>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202">
      <w:pPr>
        <w:spacing w:after="144" w:before="144"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CZĘŚĆ INDYWIDUALNA</w:t>
      </w:r>
    </w:p>
    <w:p w:rsidR="00000000" w:rsidDel="00000000" w:rsidP="00000000" w:rsidRDefault="00000000" w:rsidRPr="00000000" w14:paraId="00000203">
      <w:pPr>
        <w:spacing w:after="144" w:before="144" w:line="240" w:lineRule="auto"/>
        <w:rPr>
          <w:rFonts w:ascii="Times New Roman" w:cs="Times New Roman" w:eastAsia="Times New Roman" w:hAnsi="Times New Roman"/>
          <w:b w:val="1"/>
          <w:bCs w:val="1"/>
          <w:sz w:val="20"/>
          <w:szCs w:val="20"/>
        </w:rPr>
      </w:pPr>
      <w:r w:rsidDel="00000000" w:rsidR="00000000" w:rsidRPr="00000000">
        <w:rPr>
          <w:rtl w:val="0"/>
        </w:rPr>
      </w:r>
    </w:p>
    <w:tbl>
      <w:tblPr>
        <w:tblStyle w:val="Table5"/>
        <w:tblW w:w="90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1"/>
        <w:gridCol w:w="3069"/>
        <w:gridCol w:w="2904"/>
        <w:tblGridChange w:id="0">
          <w:tblGrid>
            <w:gridCol w:w="3071"/>
            <w:gridCol w:w="3069"/>
            <w:gridCol w:w="2904"/>
          </w:tblGrid>
        </w:tblGridChange>
      </w:tblGrid>
      <w:tr>
        <w:trPr>
          <w:cantSplit w:val="0"/>
          <w:tblHeader w:val="0"/>
        </w:trPr>
        <w:tc>
          <w:tcPr>
            <w:tcBorders>
              <w:bottom w:color="000000" w:space="0" w:sz="4" w:val="single"/>
            </w:tcBorders>
            <w:shd w:fill="f2f2f2" w:val="clear"/>
          </w:tcPr>
          <w:p w:rsidR="00000000" w:rsidDel="00000000" w:rsidP="00000000" w:rsidRDefault="00000000" w:rsidRPr="00000000" w14:paraId="00000204">
            <w:pPr>
              <w:spacing w:after="144" w:before="144" w:lineRule="auto"/>
              <w:jc w:val="both"/>
              <w:rPr/>
            </w:pPr>
            <w:r w:rsidDel="00000000" w:rsidR="00000000" w:rsidRPr="00000000">
              <w:rPr>
                <w:rtl w:val="0"/>
              </w:rPr>
              <w:t xml:space="preserve">Cena lokalu mieszkalnego albo domu jednorodzinnego</w:t>
            </w:r>
          </w:p>
        </w:tc>
        <w:tc>
          <w:tcPr>
            <w:gridSpan w:val="2"/>
          </w:tcPr>
          <w:p w:rsidR="00000000" w:rsidDel="00000000" w:rsidP="00000000" w:rsidRDefault="00000000" w:rsidRPr="00000000" w14:paraId="00000205">
            <w:pPr>
              <w:spacing w:after="144" w:before="144" w:lineRule="auto"/>
              <w:rPr>
                <w:b w:val="1"/>
                <w:bCs w:val="1"/>
              </w:rPr>
            </w:pPr>
            <w:r w:rsidDel="00000000" w:rsidR="00000000" w:rsidRPr="00000000">
              <w:rPr>
                <w:b w:val="1"/>
                <w:bCs w:val="1"/>
                <w:rtl w:val="0"/>
              </w:rPr>
              <w:t xml:space="preserve">750.00,00 zł brutto </w:t>
            </w:r>
          </w:p>
        </w:tc>
      </w:tr>
      <w:tr>
        <w:trPr>
          <w:cantSplit w:val="0"/>
          <w:tblHeader w:val="0"/>
        </w:trPr>
        <w:tc>
          <w:tcPr>
            <w:tcBorders>
              <w:bottom w:color="000000" w:space="0" w:sz="4" w:val="single"/>
            </w:tcBorders>
            <w:shd w:fill="f2f2f2" w:val="clear"/>
          </w:tcPr>
          <w:p w:rsidR="00000000" w:rsidDel="00000000" w:rsidP="00000000" w:rsidRDefault="00000000" w:rsidRPr="00000000" w14:paraId="00000207">
            <w:pPr>
              <w:spacing w:after="144" w:before="144" w:lineRule="auto"/>
              <w:jc w:val="both"/>
              <w:rPr/>
            </w:pPr>
            <w:r w:rsidDel="00000000" w:rsidR="00000000" w:rsidRPr="00000000">
              <w:rPr>
                <w:rtl w:val="0"/>
              </w:rPr>
              <w:t xml:space="preserve">Powierzchnia użytkowa lokalu mieszkalnego albo domu jednorodzinnego</w:t>
            </w:r>
          </w:p>
        </w:tc>
        <w:tc>
          <w:tcPr>
            <w:gridSpan w:val="2"/>
          </w:tcPr>
          <w:p w:rsidR="00000000" w:rsidDel="00000000" w:rsidP="00000000" w:rsidRDefault="00000000" w:rsidRPr="00000000" w14:paraId="00000208">
            <w:pPr>
              <w:spacing w:after="144" w:before="144" w:lineRule="auto"/>
              <w:rPr>
                <w:b w:val="1"/>
                <w:bCs w:val="1"/>
              </w:rPr>
            </w:pPr>
            <w:r w:rsidDel="00000000" w:rsidR="00000000" w:rsidRPr="00000000">
              <w:rPr>
                <w:b w:val="1"/>
                <w:bCs w:val="1"/>
                <w:rtl w:val="0"/>
              </w:rPr>
              <w:t xml:space="preserve">84,75 m</w:t>
            </w:r>
            <w:r w:rsidDel="00000000" w:rsidR="00000000" w:rsidRPr="00000000">
              <w:rPr>
                <w:b w:val="1"/>
                <w:bCs w:val="1"/>
                <w:vertAlign w:val="superscript"/>
                <w:rtl w:val="0"/>
              </w:rPr>
              <w:t xml:space="preserve">2</w:t>
            </w:r>
            <w:r w:rsidDel="00000000" w:rsidR="00000000" w:rsidRPr="00000000">
              <w:rPr>
                <w:rtl w:val="0"/>
              </w:rPr>
            </w:r>
          </w:p>
        </w:tc>
      </w:tr>
      <w:tr>
        <w:trPr>
          <w:cantSplit w:val="0"/>
          <w:tblHeader w:val="0"/>
        </w:trPr>
        <w:tc>
          <w:tcPr>
            <w:tcBorders>
              <w:bottom w:color="000000" w:space="0" w:sz="4" w:val="single"/>
            </w:tcBorders>
            <w:shd w:fill="f2f2f2" w:val="clear"/>
          </w:tcPr>
          <w:p w:rsidR="00000000" w:rsidDel="00000000" w:rsidP="00000000" w:rsidRDefault="00000000" w:rsidRPr="00000000" w14:paraId="0000020A">
            <w:pPr>
              <w:spacing w:after="144" w:before="144" w:lineRule="auto"/>
              <w:jc w:val="both"/>
              <w:rPr/>
            </w:pPr>
            <w:r w:rsidDel="00000000" w:rsidR="00000000" w:rsidRPr="00000000">
              <w:rPr>
                <w:rtl w:val="0"/>
              </w:rPr>
              <w:t xml:space="preserve">Cena m</w:t>
            </w:r>
            <w:r w:rsidDel="00000000" w:rsidR="00000000" w:rsidRPr="00000000">
              <w:rPr>
                <w:vertAlign w:val="superscript"/>
                <w:rtl w:val="0"/>
              </w:rPr>
              <w:t xml:space="preserve">2</w:t>
            </w:r>
            <w:r w:rsidDel="00000000" w:rsidR="00000000" w:rsidRPr="00000000">
              <w:rPr>
                <w:rtl w:val="0"/>
              </w:rPr>
              <w:t xml:space="preserve"> powierzchni użytkowej lokalu mieszkalnego albo domu jednorodzinnego</w:t>
            </w:r>
          </w:p>
        </w:tc>
        <w:tc>
          <w:tcPr>
            <w:gridSpan w:val="2"/>
          </w:tcPr>
          <w:p w:rsidR="00000000" w:rsidDel="00000000" w:rsidP="00000000" w:rsidRDefault="00000000" w:rsidRPr="00000000" w14:paraId="0000020B">
            <w:pPr>
              <w:spacing w:after="144" w:before="144" w:lineRule="auto"/>
              <w:rPr>
                <w:b w:val="1"/>
                <w:bCs w:val="1"/>
                <w:vertAlign w:val="superscript"/>
              </w:rPr>
            </w:pPr>
            <w:r w:rsidDel="00000000" w:rsidR="00000000" w:rsidRPr="00000000">
              <w:rPr>
                <w:b w:val="1"/>
                <w:bCs w:val="1"/>
                <w:rtl w:val="0"/>
              </w:rPr>
              <w:t xml:space="preserve">8.967,55 zł/m</w:t>
            </w:r>
            <w:r w:rsidDel="00000000" w:rsidR="00000000" w:rsidRPr="00000000">
              <w:rPr>
                <w:b w:val="1"/>
                <w:bCs w:val="1"/>
                <w:vertAlign w:val="superscript"/>
                <w:rtl w:val="0"/>
              </w:rPr>
              <w:t xml:space="preserve">2</w:t>
            </w:r>
          </w:p>
        </w:tc>
      </w:tr>
      <w:tr>
        <w:trPr>
          <w:cantSplit w:val="0"/>
          <w:tblHeader w:val="0"/>
        </w:trPr>
        <w:tc>
          <w:tcPr>
            <w:tcBorders>
              <w:bottom w:color="000000" w:space="0" w:sz="4" w:val="single"/>
            </w:tcBorders>
            <w:shd w:fill="f2f2f2" w:val="clear"/>
          </w:tcPr>
          <w:p w:rsidR="00000000" w:rsidDel="00000000" w:rsidP="00000000" w:rsidRDefault="00000000" w:rsidRPr="00000000" w14:paraId="0000020D">
            <w:pPr>
              <w:spacing w:after="144" w:before="144" w:lineRule="auto"/>
              <w:jc w:val="both"/>
              <w:rPr/>
            </w:pPr>
            <w:r w:rsidDel="00000000" w:rsidR="00000000" w:rsidRPr="00000000">
              <w:rPr>
                <w:rtl w:val="0"/>
              </w:rPr>
              <w:t xml:space="preserve">Termin, do którego nastąpi przeniesienie prawa własności nieruchomości wynikającego z umowy deweloperskiej lub jednej z umów, o których mowa w art. 2 ust. 1 pkt 2, 3 lub 5 lub ust. 2 ustawy z dnia 20 maja 2021 r. o ochronie praw nabywcy lokalu mieszkalnego lub domu jednorodzinnego oraz o Deweloperskim Funduszu Gwarancyjnym </w:t>
            </w:r>
          </w:p>
        </w:tc>
        <w:tc>
          <w:tcPr>
            <w:gridSpan w:val="2"/>
          </w:tcPr>
          <w:p w:rsidR="00000000" w:rsidDel="00000000" w:rsidP="00000000" w:rsidRDefault="00000000" w:rsidRPr="00000000" w14:paraId="0000020E">
            <w:pPr>
              <w:spacing w:after="144" w:before="144" w:lineRule="auto"/>
              <w:rPr>
                <w:b w:val="1"/>
                <w:bCs w:val="1"/>
              </w:rPr>
            </w:pPr>
            <w:r w:rsidDel="00000000" w:rsidR="00000000" w:rsidRPr="00000000">
              <w:rPr>
                <w:b w:val="1"/>
                <w:bCs w:val="1"/>
                <w:rtl w:val="0"/>
              </w:rPr>
              <w:t xml:space="preserve">31 sierpnia 2026 roku</w:t>
            </w:r>
          </w:p>
        </w:tc>
      </w:tr>
      <w:tr>
        <w:trPr>
          <w:cantSplit w:val="0"/>
          <w:tblHeader w:val="0"/>
        </w:trPr>
        <w:tc>
          <w:tcPr>
            <w:tcBorders>
              <w:bottom w:color="000000" w:space="0" w:sz="0" w:val="nil"/>
            </w:tcBorders>
            <w:shd w:fill="f2f2f2" w:val="clear"/>
          </w:tcPr>
          <w:p w:rsidR="00000000" w:rsidDel="00000000" w:rsidP="00000000" w:rsidRDefault="00000000" w:rsidRPr="00000000" w14:paraId="00000210">
            <w:pPr>
              <w:spacing w:after="144" w:before="144" w:lineRule="auto"/>
              <w:jc w:val="both"/>
              <w:rPr/>
            </w:pPr>
            <w:r w:rsidDel="00000000" w:rsidR="00000000" w:rsidRPr="00000000">
              <w:rPr>
                <w:rtl w:val="0"/>
              </w:rPr>
              <w:t xml:space="preserve">Określenie położenia oraz istotnych cech domu jednorodzinnego albo budynku, w którym ma znajdować się lokal mieszkalny będący przedmiotem umowy rezerwacyjnej albo umowy deweloperskiej, albo umowy, o której mowa w art. 2 ust. 1 pkt 2, 3 lub 5 lub umów, o których mowa w art. 2 ust. 2 ustawy z dnia 20 maja 2021 r. o ochronie praw nabywcy lokalu mieszkalnego lub domu jednorodzinnego oraz o Deweloperskim Funduszu Gwarancyjnym</w:t>
            </w:r>
          </w:p>
        </w:tc>
        <w:tc>
          <w:tcPr>
            <w:vMerge w:val="restart"/>
          </w:tcPr>
          <w:p w:rsidR="00000000" w:rsidDel="00000000" w:rsidP="00000000" w:rsidRDefault="00000000" w:rsidRPr="00000000" w14:paraId="00000211">
            <w:pPr>
              <w:spacing w:after="144" w:before="144" w:lineRule="auto"/>
              <w:rPr/>
            </w:pPr>
            <w:r w:rsidDel="00000000" w:rsidR="00000000" w:rsidRPr="00000000">
              <w:rPr>
                <w:rtl w:val="0"/>
              </w:rPr>
              <w:t xml:space="preserve">Liczba kondygnacji</w:t>
            </w:r>
          </w:p>
        </w:tc>
        <w:tc>
          <w:tcPr>
            <w:vMerge w:val="restart"/>
          </w:tcPr>
          <w:p w:rsidR="00000000" w:rsidDel="00000000" w:rsidP="00000000" w:rsidRDefault="00000000" w:rsidRPr="00000000" w14:paraId="00000212">
            <w:pPr>
              <w:spacing w:after="144" w:before="144" w:lineRule="auto"/>
              <w:rPr>
                <w:b w:val="1"/>
                <w:bCs w:val="1"/>
              </w:rPr>
            </w:pPr>
            <w:r w:rsidDel="00000000" w:rsidR="00000000" w:rsidRPr="00000000">
              <w:rPr>
                <w:b w:val="1"/>
                <w:bCs w:val="1"/>
                <w:rtl w:val="0"/>
              </w:rPr>
              <w:t xml:space="preserve">2 kondygnacje nadziemne </w:t>
            </w:r>
          </w:p>
        </w:tc>
      </w:tr>
      <w:tr>
        <w:trPr>
          <w:cantSplit w:val="0"/>
          <w:trHeight w:val="56" w:hRule="atLeast"/>
          <w:tblHeader w:val="0"/>
        </w:trPr>
        <w:tc>
          <w:tcPr>
            <w:tcBorders>
              <w:top w:color="000000" w:space="0" w:sz="0" w:val="nil"/>
              <w:bottom w:color="000000" w:space="0" w:sz="0" w:val="nil"/>
            </w:tcBorders>
            <w:shd w:fill="f2f2f2" w:val="clear"/>
          </w:tcPr>
          <w:p w:rsidR="00000000" w:rsidDel="00000000" w:rsidP="00000000" w:rsidRDefault="00000000" w:rsidRPr="00000000" w14:paraId="00000213">
            <w:pPr>
              <w:spacing w:after="144" w:before="144" w:lineRule="auto"/>
              <w:rPr>
                <w:b w:val="1"/>
                <w:bCs w:val="1"/>
              </w:rPr>
            </w:pPr>
            <w:r w:rsidDel="00000000" w:rsidR="00000000" w:rsidRPr="00000000">
              <w:rPr>
                <w:rtl w:val="0"/>
              </w:rPr>
            </w:r>
          </w:p>
        </w:tc>
        <w:tc>
          <w:tcPr>
            <w:vMerge w:val="continue"/>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vMerge w:val="continue"/>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r>
      <w:tr>
        <w:trPr>
          <w:cantSplit w:val="0"/>
          <w:tblHeader w:val="0"/>
        </w:trPr>
        <w:tc>
          <w:tcPr>
            <w:tcBorders>
              <w:top w:color="000000" w:space="0" w:sz="0" w:val="nil"/>
              <w:bottom w:color="000000" w:space="0" w:sz="4" w:val="single"/>
            </w:tcBorders>
            <w:shd w:fill="f2f2f2" w:val="clear"/>
          </w:tcPr>
          <w:p w:rsidR="00000000" w:rsidDel="00000000" w:rsidP="00000000" w:rsidRDefault="00000000" w:rsidRPr="00000000" w14:paraId="00000216">
            <w:pPr>
              <w:spacing w:after="144" w:before="144" w:lineRule="auto"/>
              <w:rPr>
                <w:b w:val="1"/>
                <w:bCs w:val="1"/>
              </w:rPr>
            </w:pPr>
            <w:r w:rsidDel="00000000" w:rsidR="00000000" w:rsidRPr="00000000">
              <w:rPr>
                <w:rtl w:val="0"/>
              </w:rPr>
            </w:r>
          </w:p>
        </w:tc>
        <w:tc>
          <w:tcPr/>
          <w:p w:rsidR="00000000" w:rsidDel="00000000" w:rsidP="00000000" w:rsidRDefault="00000000" w:rsidRPr="00000000" w14:paraId="00000217">
            <w:pPr>
              <w:spacing w:after="144" w:before="144" w:lineRule="auto"/>
              <w:rPr/>
            </w:pPr>
            <w:r w:rsidDel="00000000" w:rsidR="00000000" w:rsidRPr="00000000">
              <w:rPr>
                <w:rtl w:val="0"/>
              </w:rPr>
              <w:t xml:space="preserve">Technologia wykonania </w:t>
            </w:r>
          </w:p>
        </w:tc>
        <w:tc>
          <w:tcPr/>
          <w:p w:rsidR="00000000" w:rsidDel="00000000" w:rsidP="00000000" w:rsidRDefault="00000000" w:rsidRPr="00000000" w14:paraId="00000218">
            <w:pPr>
              <w:spacing w:after="144" w:before="144" w:lineRule="auto"/>
              <w:rPr>
                <w:b w:val="1"/>
                <w:bCs w:val="1"/>
              </w:rPr>
            </w:pPr>
            <w:r w:rsidDel="00000000" w:rsidR="00000000" w:rsidRPr="00000000">
              <w:rPr>
                <w:b w:val="1"/>
                <w:bCs w:val="1"/>
                <w:rtl w:val="0"/>
              </w:rPr>
              <w:t xml:space="preserve">Zgodnie z załącznikiem nr 4</w:t>
            </w:r>
          </w:p>
        </w:tc>
      </w:tr>
      <w:tr>
        <w:trPr>
          <w:cantSplit w:val="0"/>
          <w:tblHeader w:val="0"/>
        </w:trPr>
        <w:tc>
          <w:tcPr>
            <w:tcBorders>
              <w:top w:color="000000" w:space="0" w:sz="4" w:val="single"/>
              <w:bottom w:color="000000" w:space="0" w:sz="0" w:val="nil"/>
            </w:tcBorders>
            <w:shd w:fill="f2f2f2" w:val="clear"/>
          </w:tcPr>
          <w:p w:rsidR="00000000" w:rsidDel="00000000" w:rsidP="00000000" w:rsidRDefault="00000000" w:rsidRPr="00000000" w14:paraId="00000219">
            <w:pPr>
              <w:spacing w:after="144" w:before="144" w:lineRule="auto"/>
              <w:rPr>
                <w:b w:val="1"/>
                <w:bCs w:val="1"/>
              </w:rPr>
            </w:pPr>
            <w:r w:rsidDel="00000000" w:rsidR="00000000" w:rsidRPr="00000000">
              <w:rPr>
                <w:rtl w:val="0"/>
              </w:rPr>
            </w:r>
          </w:p>
        </w:tc>
        <w:tc>
          <w:tcPr/>
          <w:p w:rsidR="00000000" w:rsidDel="00000000" w:rsidP="00000000" w:rsidRDefault="00000000" w:rsidRPr="00000000" w14:paraId="0000021A">
            <w:pPr>
              <w:spacing w:after="144" w:before="144" w:lineRule="auto"/>
              <w:rPr/>
            </w:pPr>
            <w:r w:rsidDel="00000000" w:rsidR="00000000" w:rsidRPr="00000000">
              <w:rPr>
                <w:rtl w:val="0"/>
              </w:rPr>
              <w:t xml:space="preserve">Standard prac wykończeniowych w części wspólnej budynku i terenie wokół niego, stanowiącym część wspólną nieruchomości</w:t>
            </w:r>
          </w:p>
        </w:tc>
        <w:tc>
          <w:tcPr/>
          <w:p w:rsidR="00000000" w:rsidDel="00000000" w:rsidP="00000000" w:rsidRDefault="00000000" w:rsidRPr="00000000" w14:paraId="0000021B">
            <w:pPr>
              <w:spacing w:after="144" w:before="144" w:lineRule="auto"/>
              <w:rPr>
                <w:b w:val="1"/>
                <w:bCs w:val="1"/>
              </w:rPr>
            </w:pPr>
            <w:r w:rsidDel="00000000" w:rsidR="00000000" w:rsidRPr="00000000">
              <w:rPr>
                <w:b w:val="1"/>
                <w:bCs w:val="1"/>
                <w:rtl w:val="0"/>
              </w:rPr>
              <w:t xml:space="preserve">Zgodnie z załącznikiem nr 4</w:t>
            </w:r>
          </w:p>
        </w:tc>
      </w:tr>
      <w:tr>
        <w:trPr>
          <w:cantSplit w:val="0"/>
          <w:tblHeader w:val="0"/>
        </w:trPr>
        <w:tc>
          <w:tcPr>
            <w:tcBorders>
              <w:top w:color="000000" w:space="0" w:sz="0" w:val="nil"/>
              <w:bottom w:color="000000" w:space="0" w:sz="0" w:val="nil"/>
            </w:tcBorders>
            <w:shd w:fill="f2f2f2" w:val="clear"/>
          </w:tcPr>
          <w:p w:rsidR="00000000" w:rsidDel="00000000" w:rsidP="00000000" w:rsidRDefault="00000000" w:rsidRPr="00000000" w14:paraId="0000021C">
            <w:pPr>
              <w:spacing w:after="144" w:before="144" w:lineRule="auto"/>
              <w:rPr>
                <w:b w:val="1"/>
                <w:bCs w:val="1"/>
              </w:rPr>
            </w:pPr>
            <w:r w:rsidDel="00000000" w:rsidR="00000000" w:rsidRPr="00000000">
              <w:rPr>
                <w:rtl w:val="0"/>
              </w:rPr>
            </w:r>
          </w:p>
        </w:tc>
        <w:tc>
          <w:tcPr/>
          <w:p w:rsidR="00000000" w:rsidDel="00000000" w:rsidP="00000000" w:rsidRDefault="00000000" w:rsidRPr="00000000" w14:paraId="0000021D">
            <w:pPr>
              <w:spacing w:after="144" w:before="144" w:lineRule="auto"/>
              <w:rPr/>
            </w:pPr>
            <w:r w:rsidDel="00000000" w:rsidR="00000000" w:rsidRPr="00000000">
              <w:rPr>
                <w:rtl w:val="0"/>
              </w:rPr>
              <w:t xml:space="preserve">Liczba lokali w budynku</w:t>
            </w:r>
          </w:p>
        </w:tc>
        <w:tc>
          <w:tcPr/>
          <w:p w:rsidR="00000000" w:rsidDel="00000000" w:rsidP="00000000" w:rsidRDefault="00000000" w:rsidRPr="00000000" w14:paraId="0000021E">
            <w:pPr>
              <w:spacing w:after="144" w:before="144" w:lineRule="auto"/>
              <w:rPr>
                <w:b w:val="1"/>
                <w:bCs w:val="1"/>
              </w:rPr>
            </w:pPr>
            <w:r w:rsidDel="00000000" w:rsidR="00000000" w:rsidRPr="00000000">
              <w:rPr>
                <w:b w:val="1"/>
                <w:bCs w:val="1"/>
                <w:rtl w:val="0"/>
              </w:rPr>
              <w:t xml:space="preserve">Budynek A: 2 lokale mieszkalne</w:t>
            </w:r>
          </w:p>
        </w:tc>
      </w:tr>
      <w:tr>
        <w:trPr>
          <w:cantSplit w:val="0"/>
          <w:tblHeader w:val="0"/>
        </w:trPr>
        <w:tc>
          <w:tcPr>
            <w:tcBorders>
              <w:top w:color="000000" w:space="0" w:sz="0" w:val="nil"/>
              <w:bottom w:color="000000" w:space="0" w:sz="0" w:val="nil"/>
            </w:tcBorders>
            <w:shd w:fill="f2f2f2" w:val="clear"/>
          </w:tcPr>
          <w:p w:rsidR="00000000" w:rsidDel="00000000" w:rsidP="00000000" w:rsidRDefault="00000000" w:rsidRPr="00000000" w14:paraId="0000021F">
            <w:pPr>
              <w:spacing w:after="144" w:before="144" w:lineRule="auto"/>
              <w:rPr>
                <w:b w:val="1"/>
                <w:bCs w:val="1"/>
              </w:rPr>
            </w:pPr>
            <w:r w:rsidDel="00000000" w:rsidR="00000000" w:rsidRPr="00000000">
              <w:rPr>
                <w:rtl w:val="0"/>
              </w:rPr>
            </w:r>
          </w:p>
        </w:tc>
        <w:tc>
          <w:tcPr/>
          <w:p w:rsidR="00000000" w:rsidDel="00000000" w:rsidP="00000000" w:rsidRDefault="00000000" w:rsidRPr="00000000" w14:paraId="00000220">
            <w:pPr>
              <w:spacing w:after="144" w:before="144" w:lineRule="auto"/>
              <w:rPr/>
            </w:pPr>
            <w:r w:rsidDel="00000000" w:rsidR="00000000" w:rsidRPr="00000000">
              <w:rPr>
                <w:rtl w:val="0"/>
              </w:rPr>
              <w:t xml:space="preserve">Liczba miejsc garażowych i postojowych</w:t>
            </w:r>
          </w:p>
        </w:tc>
        <w:tc>
          <w:tcPr/>
          <w:p w:rsidR="00000000" w:rsidDel="00000000" w:rsidP="00000000" w:rsidRDefault="00000000" w:rsidRPr="00000000" w14:paraId="00000221">
            <w:pPr>
              <w:spacing w:after="144" w:before="144" w:lineRule="auto"/>
              <w:rPr>
                <w:b w:val="1"/>
                <w:bCs w:val="1"/>
              </w:rPr>
            </w:pPr>
            <w:r w:rsidDel="00000000" w:rsidR="00000000" w:rsidRPr="00000000">
              <w:rPr>
                <w:b w:val="1"/>
                <w:bCs w:val="1"/>
                <w:rtl w:val="0"/>
              </w:rPr>
              <w:t xml:space="preserve">Zadanie inwestycyjne nr 1 obejmuje realizację 4 naziemnych miejsc postojowych przylegających do budynku A </w:t>
            </w:r>
          </w:p>
          <w:p w:rsidR="00000000" w:rsidDel="00000000" w:rsidP="00000000" w:rsidRDefault="00000000" w:rsidRPr="00000000" w14:paraId="00000222">
            <w:pPr>
              <w:spacing w:after="144" w:before="144" w:lineRule="auto"/>
              <w:rPr>
                <w:b w:val="1"/>
                <w:bCs w:val="1"/>
              </w:rPr>
            </w:pPr>
            <w:r w:rsidDel="00000000" w:rsidR="00000000" w:rsidRPr="00000000">
              <w:rPr>
                <w:b w:val="1"/>
                <w:bCs w:val="1"/>
                <w:rtl w:val="0"/>
              </w:rPr>
              <w:t xml:space="preserve">zgodnie z załącznikiem nr 3 </w:t>
            </w:r>
          </w:p>
          <w:p w:rsidR="00000000" w:rsidDel="00000000" w:rsidP="00000000" w:rsidRDefault="00000000" w:rsidRPr="00000000" w14:paraId="00000223">
            <w:pPr>
              <w:spacing w:after="144" w:before="144" w:lineRule="auto"/>
              <w:rPr>
                <w:b w:val="1"/>
                <w:bCs w:val="1"/>
              </w:rPr>
            </w:pPr>
            <w:r w:rsidDel="00000000" w:rsidR="00000000" w:rsidRPr="00000000">
              <w:rPr>
                <w:rtl w:val="0"/>
              </w:rPr>
            </w:r>
          </w:p>
        </w:tc>
      </w:tr>
      <w:tr>
        <w:trPr>
          <w:cantSplit w:val="0"/>
          <w:tblHeader w:val="0"/>
        </w:trPr>
        <w:tc>
          <w:tcPr>
            <w:tcBorders>
              <w:top w:color="000000" w:space="0" w:sz="0" w:val="nil"/>
              <w:bottom w:color="000000" w:space="0" w:sz="0" w:val="nil"/>
            </w:tcBorders>
            <w:shd w:fill="f2f2f2" w:val="clear"/>
          </w:tcPr>
          <w:p w:rsidR="00000000" w:rsidDel="00000000" w:rsidP="00000000" w:rsidRDefault="00000000" w:rsidRPr="00000000" w14:paraId="00000224">
            <w:pPr>
              <w:spacing w:after="144" w:before="144" w:lineRule="auto"/>
              <w:rPr>
                <w:b w:val="1"/>
                <w:bCs w:val="1"/>
              </w:rPr>
            </w:pPr>
            <w:r w:rsidDel="00000000" w:rsidR="00000000" w:rsidRPr="00000000">
              <w:rPr>
                <w:rtl w:val="0"/>
              </w:rPr>
            </w:r>
          </w:p>
        </w:tc>
        <w:tc>
          <w:tcPr/>
          <w:p w:rsidR="00000000" w:rsidDel="00000000" w:rsidP="00000000" w:rsidRDefault="00000000" w:rsidRPr="00000000" w14:paraId="00000225">
            <w:pPr>
              <w:spacing w:after="144" w:before="144" w:lineRule="auto"/>
              <w:rPr/>
            </w:pPr>
            <w:r w:rsidDel="00000000" w:rsidR="00000000" w:rsidRPr="00000000">
              <w:rPr>
                <w:rtl w:val="0"/>
              </w:rPr>
              <w:t xml:space="preserve">Dostępne media w budynku</w:t>
            </w:r>
          </w:p>
        </w:tc>
        <w:tc>
          <w:tcPr/>
          <w:p w:rsidR="00000000" w:rsidDel="00000000" w:rsidP="00000000" w:rsidRDefault="00000000" w:rsidRPr="00000000" w14:paraId="00000226">
            <w:pPr>
              <w:spacing w:after="144" w:before="144" w:lineRule="auto"/>
              <w:rPr>
                <w:b w:val="1"/>
                <w:bCs w:val="1"/>
              </w:rPr>
            </w:pPr>
            <w:r w:rsidDel="00000000" w:rsidR="00000000" w:rsidRPr="00000000">
              <w:rPr>
                <w:b w:val="1"/>
                <w:bCs w:val="1"/>
                <w:rtl w:val="0"/>
              </w:rPr>
              <w:t xml:space="preserve">Woda</w:t>
            </w:r>
          </w:p>
          <w:p w:rsidR="00000000" w:rsidDel="00000000" w:rsidP="00000000" w:rsidRDefault="00000000" w:rsidRPr="00000000" w14:paraId="00000227">
            <w:pPr>
              <w:spacing w:after="144" w:before="144" w:lineRule="auto"/>
              <w:rPr>
                <w:b w:val="1"/>
                <w:bCs w:val="1"/>
              </w:rPr>
            </w:pPr>
            <w:r w:rsidDel="00000000" w:rsidR="00000000" w:rsidRPr="00000000">
              <w:rPr>
                <w:b w:val="1"/>
                <w:bCs w:val="1"/>
                <w:rtl w:val="0"/>
              </w:rPr>
              <w:t xml:space="preserve">Kanalizacja</w:t>
            </w:r>
          </w:p>
          <w:p w:rsidR="00000000" w:rsidDel="00000000" w:rsidP="00000000" w:rsidRDefault="00000000" w:rsidRPr="00000000" w14:paraId="00000228">
            <w:pPr>
              <w:spacing w:after="144" w:before="144" w:lineRule="auto"/>
              <w:rPr>
                <w:b w:val="1"/>
                <w:bCs w:val="1"/>
              </w:rPr>
            </w:pPr>
            <w:r w:rsidDel="00000000" w:rsidR="00000000" w:rsidRPr="00000000">
              <w:rPr>
                <w:b w:val="1"/>
                <w:bCs w:val="1"/>
                <w:rtl w:val="0"/>
              </w:rPr>
              <w:t xml:space="preserve">Prąd</w:t>
            </w:r>
          </w:p>
          <w:p w:rsidR="00000000" w:rsidDel="00000000" w:rsidP="00000000" w:rsidRDefault="00000000" w:rsidRPr="00000000" w14:paraId="00000229">
            <w:pPr>
              <w:spacing w:after="144" w:before="144" w:lineRule="auto"/>
              <w:rPr>
                <w:b w:val="1"/>
                <w:bCs w:val="1"/>
              </w:rPr>
            </w:pPr>
            <w:r w:rsidDel="00000000" w:rsidR="00000000" w:rsidRPr="00000000">
              <w:rPr>
                <w:b w:val="1"/>
                <w:bCs w:val="1"/>
                <w:rtl w:val="0"/>
              </w:rPr>
              <w:t xml:space="preserve">Światłowód</w:t>
            </w:r>
          </w:p>
        </w:tc>
      </w:tr>
      <w:tr>
        <w:trPr>
          <w:cantSplit w:val="0"/>
          <w:tblHeader w:val="0"/>
        </w:trPr>
        <w:tc>
          <w:tcPr>
            <w:tcBorders>
              <w:top w:color="000000" w:space="0" w:sz="0" w:val="nil"/>
              <w:bottom w:color="000000" w:space="0" w:sz="4" w:val="single"/>
            </w:tcBorders>
            <w:shd w:fill="f2f2f2" w:val="clear"/>
          </w:tcPr>
          <w:p w:rsidR="00000000" w:rsidDel="00000000" w:rsidP="00000000" w:rsidRDefault="00000000" w:rsidRPr="00000000" w14:paraId="0000022A">
            <w:pPr>
              <w:spacing w:after="144" w:before="144" w:lineRule="auto"/>
              <w:rPr>
                <w:b w:val="1"/>
                <w:bCs w:val="1"/>
              </w:rPr>
            </w:pPr>
            <w:r w:rsidDel="00000000" w:rsidR="00000000" w:rsidRPr="00000000">
              <w:rPr>
                <w:rtl w:val="0"/>
              </w:rPr>
            </w:r>
          </w:p>
        </w:tc>
        <w:tc>
          <w:tcPr/>
          <w:p w:rsidR="00000000" w:rsidDel="00000000" w:rsidP="00000000" w:rsidRDefault="00000000" w:rsidRPr="00000000" w14:paraId="0000022B">
            <w:pPr>
              <w:spacing w:after="144" w:before="144" w:lineRule="auto"/>
              <w:rPr/>
            </w:pPr>
            <w:r w:rsidDel="00000000" w:rsidR="00000000" w:rsidRPr="00000000">
              <w:rPr>
                <w:rtl w:val="0"/>
              </w:rPr>
              <w:t xml:space="preserve">Dostęp do drogi publicznej</w:t>
            </w:r>
          </w:p>
        </w:tc>
        <w:tc>
          <w:tcPr/>
          <w:p w:rsidR="00000000" w:rsidDel="00000000" w:rsidP="00000000" w:rsidRDefault="00000000" w:rsidRPr="00000000" w14:paraId="0000022C">
            <w:pPr>
              <w:spacing w:after="144" w:before="144" w:lineRule="auto"/>
              <w:rPr>
                <w:b w:val="1"/>
                <w:bCs w:val="1"/>
              </w:rPr>
            </w:pPr>
            <w:r w:rsidDel="00000000" w:rsidR="00000000" w:rsidRPr="00000000">
              <w:rPr>
                <w:b w:val="1"/>
                <w:bCs w:val="1"/>
                <w:rtl w:val="0"/>
              </w:rPr>
              <w:t xml:space="preserve">Nieruchomość posiada bezpośredni dostęp do drogi publicznej</w:t>
            </w:r>
          </w:p>
        </w:tc>
      </w:tr>
      <w:tr>
        <w:trPr>
          <w:cantSplit w:val="0"/>
          <w:tblHeader w:val="0"/>
        </w:trPr>
        <w:tc>
          <w:tcPr>
            <w:tcBorders>
              <w:top w:color="000000" w:space="0" w:sz="4" w:val="single"/>
              <w:bottom w:color="000000" w:space="0" w:sz="4" w:val="single"/>
            </w:tcBorders>
            <w:shd w:fill="f2f2f2" w:val="clear"/>
          </w:tcPr>
          <w:p w:rsidR="00000000" w:rsidDel="00000000" w:rsidP="00000000" w:rsidRDefault="00000000" w:rsidRPr="00000000" w14:paraId="0000022D">
            <w:pPr>
              <w:spacing w:after="144" w:before="144" w:lineRule="auto"/>
              <w:jc w:val="both"/>
              <w:rPr/>
            </w:pPr>
            <w:r w:rsidDel="00000000" w:rsidR="00000000" w:rsidRPr="00000000">
              <w:rPr>
                <w:rtl w:val="0"/>
              </w:rPr>
              <w:t xml:space="preserve">Określenie usytuowania lokalu mieszkalnego w budynku, jeżeli przedsięwzięcie deweloperskie albo zadanie inwestycyjne dotyczy lokali mieszkalnych</w:t>
            </w:r>
          </w:p>
        </w:tc>
        <w:tc>
          <w:tcPr>
            <w:gridSpan w:val="2"/>
          </w:tcPr>
          <w:p w:rsidR="00000000" w:rsidDel="00000000" w:rsidP="00000000" w:rsidRDefault="00000000" w:rsidRPr="00000000" w14:paraId="0000022E">
            <w:pPr>
              <w:spacing w:after="144" w:before="144" w:lineRule="auto"/>
              <w:rPr>
                <w:b w:val="1"/>
                <w:bCs w:val="1"/>
              </w:rPr>
            </w:pPr>
            <w:r w:rsidDel="00000000" w:rsidR="00000000" w:rsidRPr="00000000">
              <w:rPr>
                <w:b w:val="1"/>
                <w:bCs w:val="1"/>
                <w:rtl w:val="0"/>
              </w:rPr>
              <w:t xml:space="preserve">Zgodnie z załącznikiem nr 1</w:t>
            </w:r>
          </w:p>
        </w:tc>
      </w:tr>
      <w:tr>
        <w:trPr>
          <w:cantSplit w:val="0"/>
          <w:tblHeader w:val="0"/>
        </w:trPr>
        <w:tc>
          <w:tcPr>
            <w:tcBorders>
              <w:top w:color="000000" w:space="0" w:sz="4" w:val="single"/>
              <w:bottom w:color="000000" w:space="0" w:sz="4" w:val="single"/>
            </w:tcBorders>
            <w:shd w:fill="f2f2f2" w:val="clear"/>
          </w:tcPr>
          <w:p w:rsidR="00000000" w:rsidDel="00000000" w:rsidP="00000000" w:rsidRDefault="00000000" w:rsidRPr="00000000" w14:paraId="00000230">
            <w:pPr>
              <w:spacing w:after="144" w:before="144" w:lineRule="auto"/>
              <w:jc w:val="both"/>
              <w:rPr/>
            </w:pPr>
            <w:r w:rsidDel="00000000" w:rsidR="00000000" w:rsidRPr="00000000">
              <w:rPr>
                <w:rtl w:val="0"/>
              </w:rPr>
              <w:t xml:space="preserve">Określenie powierzchni użytkowej i układu pomieszczeń oraz zakresu i standardu prac wykończeniowych, do których wykonania zobowiązuje się deweloper</w:t>
            </w:r>
          </w:p>
        </w:tc>
        <w:tc>
          <w:tcPr>
            <w:gridSpan w:val="2"/>
          </w:tcPr>
          <w:p w:rsidR="00000000" w:rsidDel="00000000" w:rsidP="00000000" w:rsidRDefault="00000000" w:rsidRPr="00000000" w14:paraId="00000231">
            <w:pPr>
              <w:spacing w:after="144" w:before="144" w:lineRule="auto"/>
              <w:rPr>
                <w:b w:val="1"/>
                <w:bCs w:val="1"/>
              </w:rPr>
            </w:pPr>
            <w:r w:rsidDel="00000000" w:rsidR="00000000" w:rsidRPr="00000000">
              <w:rPr>
                <w:b w:val="1"/>
                <w:bCs w:val="1"/>
                <w:rtl w:val="0"/>
              </w:rPr>
              <w:t xml:space="preserve">Zgodnie z załącznikiem nr 1 i 4</w:t>
            </w:r>
          </w:p>
        </w:tc>
      </w:tr>
      <w:tr>
        <w:trPr>
          <w:cantSplit w:val="0"/>
          <w:trHeight w:val="1035" w:hRule="atLeast"/>
          <w:tblHeader w:val="0"/>
        </w:trPr>
        <w:tc>
          <w:tcPr>
            <w:tcBorders>
              <w:top w:color="000000" w:space="0" w:sz="4" w:val="single"/>
              <w:bottom w:color="000000" w:space="0" w:sz="4" w:val="single"/>
            </w:tcBorders>
            <w:shd w:fill="f2f2f2" w:val="clear"/>
          </w:tcPr>
          <w:p w:rsidR="00000000" w:rsidDel="00000000" w:rsidP="00000000" w:rsidRDefault="00000000" w:rsidRPr="00000000" w14:paraId="00000233">
            <w:pPr>
              <w:widowControl w:val="0"/>
              <w:spacing w:after="144" w:before="144" w:lineRule="auto"/>
              <w:rPr/>
            </w:pPr>
            <w:r w:rsidDel="00000000" w:rsidR="00000000" w:rsidRPr="00000000">
              <w:rPr>
                <w:rtl w:val="0"/>
              </w:rPr>
              <w:t xml:space="preserve">Data wydania zaświadczenia o samodzielności lokalu mieszkalnego</w:t>
            </w:r>
          </w:p>
        </w:tc>
        <w:tc>
          <w:tcPr>
            <w:gridSpan w:val="2"/>
          </w:tcPr>
          <w:p w:rsidR="00000000" w:rsidDel="00000000" w:rsidP="00000000" w:rsidRDefault="00000000" w:rsidRPr="00000000" w14:paraId="00000234">
            <w:pPr>
              <w:spacing w:after="144" w:before="144" w:lineRule="auto"/>
              <w:rPr>
                <w:b w:val="1"/>
                <w:bCs w:val="1"/>
              </w:rPr>
            </w:pPr>
            <w:r w:rsidDel="00000000" w:rsidR="00000000" w:rsidRPr="00000000">
              <w:rPr>
                <w:b w:val="1"/>
                <w:bCs w:val="1"/>
                <w:rtl w:val="0"/>
              </w:rPr>
              <w:t xml:space="preserve">Nie dotyczy </w:t>
            </w:r>
          </w:p>
        </w:tc>
      </w:tr>
      <w:tr>
        <w:trPr>
          <w:cantSplit w:val="0"/>
          <w:trHeight w:val="1050" w:hRule="atLeast"/>
          <w:tblHeader w:val="0"/>
        </w:trPr>
        <w:tc>
          <w:tcPr>
            <w:tcBorders>
              <w:top w:color="000000" w:space="0" w:sz="4" w:val="single"/>
              <w:bottom w:color="000000" w:space="0" w:sz="4" w:val="single"/>
            </w:tcBorders>
            <w:shd w:fill="f2f2f2" w:val="clear"/>
          </w:tcPr>
          <w:p w:rsidR="00000000" w:rsidDel="00000000" w:rsidP="00000000" w:rsidRDefault="00000000" w:rsidRPr="00000000" w14:paraId="00000236">
            <w:pPr>
              <w:widowControl w:val="0"/>
              <w:spacing w:after="144" w:before="144" w:lineRule="auto"/>
              <w:rPr/>
            </w:pPr>
            <w:r w:rsidDel="00000000" w:rsidR="00000000" w:rsidRPr="00000000">
              <w:rPr>
                <w:rtl w:val="0"/>
              </w:rPr>
              <w:t xml:space="preserve">Data ustanowienia odrębnej własności lokalu mieszkalnego</w:t>
            </w:r>
          </w:p>
        </w:tc>
        <w:tc>
          <w:tcPr>
            <w:gridSpan w:val="2"/>
          </w:tcPr>
          <w:p w:rsidR="00000000" w:rsidDel="00000000" w:rsidP="00000000" w:rsidRDefault="00000000" w:rsidRPr="00000000" w14:paraId="00000237">
            <w:pPr>
              <w:spacing w:after="144" w:before="144" w:lineRule="auto"/>
              <w:rPr>
                <w:b w:val="1"/>
                <w:bCs w:val="1"/>
              </w:rPr>
            </w:pPr>
            <w:r w:rsidDel="00000000" w:rsidR="00000000" w:rsidRPr="00000000">
              <w:rPr>
                <w:b w:val="1"/>
                <w:bCs w:val="1"/>
                <w:rtl w:val="0"/>
              </w:rPr>
              <w:t xml:space="preserve">Nie dotyczy </w:t>
            </w:r>
          </w:p>
        </w:tc>
      </w:tr>
      <w:tr>
        <w:trPr>
          <w:cantSplit w:val="0"/>
          <w:tblHeader w:val="0"/>
        </w:trPr>
        <w:tc>
          <w:tcPr>
            <w:tcBorders>
              <w:top w:color="000000" w:space="0" w:sz="4" w:val="single"/>
              <w:bottom w:color="000000" w:space="0" w:sz="4" w:val="single"/>
            </w:tcBorders>
            <w:shd w:fill="f2f2f2" w:val="clear"/>
          </w:tcPr>
          <w:p w:rsidR="00000000" w:rsidDel="00000000" w:rsidP="00000000" w:rsidRDefault="00000000" w:rsidRPr="00000000" w14:paraId="00000239">
            <w:pPr>
              <w:spacing w:after="144" w:before="144" w:lineRule="auto"/>
              <w:jc w:val="both"/>
              <w:rPr/>
            </w:pPr>
            <w:r w:rsidDel="00000000" w:rsidR="00000000" w:rsidRPr="00000000">
              <w:rPr>
                <w:rtl w:val="0"/>
              </w:rPr>
              <w:t xml:space="preserve">Informacje o lokalu użytkowym nabywanym równocześnie z lokalem mieszkalnym albo domem jednorodzinnym</w:t>
            </w:r>
          </w:p>
        </w:tc>
        <w:tc>
          <w:tcPr>
            <w:gridSpan w:val="2"/>
          </w:tcPr>
          <w:p w:rsidR="00000000" w:rsidDel="00000000" w:rsidP="00000000" w:rsidRDefault="00000000" w:rsidRPr="00000000" w14:paraId="0000023A">
            <w:pPr>
              <w:spacing w:after="144" w:before="144" w:lineRule="auto"/>
              <w:rPr>
                <w:b w:val="1"/>
                <w:bCs w:val="1"/>
              </w:rPr>
            </w:pPr>
            <w:r w:rsidDel="00000000" w:rsidR="00000000" w:rsidRPr="00000000">
              <w:rPr>
                <w:b w:val="1"/>
                <w:bCs w:val="1"/>
                <w:rtl w:val="0"/>
              </w:rPr>
              <w:t xml:space="preserve">Nie dotyczy</w:t>
            </w:r>
          </w:p>
        </w:tc>
      </w:tr>
      <w:tr>
        <w:trPr>
          <w:cantSplit w:val="0"/>
          <w:tblHeader w:val="0"/>
        </w:trPr>
        <w:tc>
          <w:tcPr>
            <w:tcBorders>
              <w:top w:color="000000" w:space="0" w:sz="4" w:val="single"/>
              <w:bottom w:color="000000" w:space="0" w:sz="4" w:val="single"/>
            </w:tcBorders>
            <w:shd w:fill="f2f2f2" w:val="clear"/>
          </w:tcPr>
          <w:p w:rsidR="00000000" w:rsidDel="00000000" w:rsidP="00000000" w:rsidRDefault="00000000" w:rsidRPr="00000000" w14:paraId="0000023C">
            <w:pPr>
              <w:spacing w:after="144" w:before="144" w:lineRule="auto"/>
              <w:jc w:val="both"/>
              <w:rPr/>
            </w:pPr>
            <w:r w:rsidDel="00000000" w:rsidR="00000000" w:rsidRPr="00000000">
              <w:rPr>
                <w:rtl w:val="0"/>
              </w:rPr>
              <w:t xml:space="preserve">Cenę lokalu użytkowego albo ułamkowej części własności lokalu użytkowego </w:t>
            </w:r>
          </w:p>
        </w:tc>
        <w:tc>
          <w:tcPr>
            <w:gridSpan w:val="2"/>
          </w:tcPr>
          <w:p w:rsidR="00000000" w:rsidDel="00000000" w:rsidP="00000000" w:rsidRDefault="00000000" w:rsidRPr="00000000" w14:paraId="0000023D">
            <w:pPr>
              <w:spacing w:after="144" w:before="144" w:lineRule="auto"/>
              <w:rPr>
                <w:b w:val="1"/>
                <w:bCs w:val="1"/>
              </w:rPr>
            </w:pPr>
            <w:r w:rsidDel="00000000" w:rsidR="00000000" w:rsidRPr="00000000">
              <w:rPr>
                <w:b w:val="1"/>
                <w:bCs w:val="1"/>
                <w:rtl w:val="0"/>
              </w:rPr>
              <w:t xml:space="preserve">Nie dotyczy </w:t>
            </w:r>
          </w:p>
        </w:tc>
      </w:tr>
      <w:tr>
        <w:trPr>
          <w:cantSplit w:val="0"/>
          <w:tblHeader w:val="0"/>
        </w:trPr>
        <w:tc>
          <w:tcPr>
            <w:tcBorders>
              <w:top w:color="000000" w:space="0" w:sz="4" w:val="single"/>
              <w:bottom w:color="000000" w:space="0" w:sz="4" w:val="single"/>
            </w:tcBorders>
            <w:shd w:fill="f2f2f2" w:val="clear"/>
          </w:tcPr>
          <w:p w:rsidR="00000000" w:rsidDel="00000000" w:rsidP="00000000" w:rsidRDefault="00000000" w:rsidRPr="00000000" w14:paraId="0000023F">
            <w:pPr>
              <w:spacing w:after="144" w:before="144" w:lineRule="auto"/>
              <w:jc w:val="both"/>
              <w:rPr/>
            </w:pPr>
            <w:r w:rsidDel="00000000" w:rsidR="00000000" w:rsidRPr="00000000">
              <w:rPr>
                <w:rtl w:val="0"/>
              </w:rPr>
              <w:t xml:space="preserve">Termin, do którego nastąpi przeniesienie prawa własności lokalu użytkowego albo ułamkowej części własności lokalu użytkowego</w:t>
            </w:r>
          </w:p>
        </w:tc>
        <w:tc>
          <w:tcPr>
            <w:gridSpan w:val="2"/>
          </w:tcPr>
          <w:p w:rsidR="00000000" w:rsidDel="00000000" w:rsidP="00000000" w:rsidRDefault="00000000" w:rsidRPr="00000000" w14:paraId="00000240">
            <w:pPr>
              <w:spacing w:after="144" w:before="144" w:lineRule="auto"/>
              <w:rPr>
                <w:b w:val="1"/>
                <w:bCs w:val="1"/>
              </w:rPr>
            </w:pPr>
            <w:r w:rsidDel="00000000" w:rsidR="00000000" w:rsidRPr="00000000">
              <w:rPr>
                <w:b w:val="1"/>
                <w:bCs w:val="1"/>
                <w:rtl w:val="0"/>
              </w:rPr>
              <w:t xml:space="preserve">Nie dotyczy </w:t>
            </w:r>
            <w:r w:rsidDel="00000000" w:rsidR="00000000" w:rsidRPr="00000000">
              <w:rPr>
                <w:b w:val="1"/>
                <w:bCs w:val="1"/>
                <w:highlight w:val="yellow"/>
                <w:rtl w:val="0"/>
              </w:rPr>
              <w:t xml:space="preserve"> </w:t>
            </w:r>
            <w:r w:rsidDel="00000000" w:rsidR="00000000" w:rsidRPr="00000000">
              <w:rPr>
                <w:rtl w:val="0"/>
              </w:rPr>
            </w:r>
          </w:p>
        </w:tc>
      </w:tr>
    </w:tbl>
    <w:p w:rsidR="00000000" w:rsidDel="00000000" w:rsidP="00000000" w:rsidRDefault="00000000" w:rsidRPr="00000000" w14:paraId="00000242">
      <w:pPr>
        <w:spacing w:after="144" w:before="144" w:line="240" w:lineRule="auto"/>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243">
      <w:pPr>
        <w:spacing w:after="144" w:before="144" w:line="240" w:lineRule="auto"/>
        <w:jc w:val="righ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Podpis osoby upoważnionej do reprezentacji dewelopera</w:t>
      </w:r>
    </w:p>
    <w:p w:rsidR="00000000" w:rsidDel="00000000" w:rsidP="00000000" w:rsidRDefault="00000000" w:rsidRPr="00000000" w14:paraId="00000244">
      <w:pPr>
        <w:spacing w:after="144" w:before="144" w:line="240" w:lineRule="auto"/>
        <w:jc w:val="righ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245">
      <w:pPr>
        <w:spacing w:after="144" w:before="144" w:line="240" w:lineRule="auto"/>
        <w:jc w:val="righ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p w:rsidR="00000000" w:rsidDel="00000000" w:rsidP="00000000" w:rsidRDefault="00000000" w:rsidRPr="00000000" w14:paraId="00000246">
      <w:pPr>
        <w:spacing w:after="144" w:before="144" w:line="240"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247">
      <w:pPr>
        <w:spacing w:after="144" w:before="144" w:line="240"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248">
      <w:pPr>
        <w:spacing w:after="144" w:before="144" w:line="240"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249">
      <w:pPr>
        <w:spacing w:after="144" w:before="144" w:line="240"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24A">
      <w:pPr>
        <w:spacing w:after="144" w:before="144" w:line="240"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24B">
      <w:pPr>
        <w:spacing w:after="144" w:before="144" w:line="240" w:lineRule="auto"/>
        <w:jc w:val="both"/>
        <w:rPr>
          <w:rFonts w:ascii="Times New Roman" w:cs="Times New Roman" w:eastAsia="Times New Roman" w:hAnsi="Times New Roman"/>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-828670</wp:posOffset>
                </wp:positionH>
                <wp:positionV relativeFrom="paragraph">
                  <wp:posOffset>0</wp:posOffset>
                </wp:positionV>
                <wp:extent cx="28575" cy="28575"/>
                <wp:effectExtent b="0" l="0" r="0" t="0"/>
                <wp:wrapNone/>
                <wp:docPr id="1" name=""/>
                <a:graphic>
                  <a:graphicData uri="http://schemas.microsoft.com/office/word/2010/wordprocessingShape">
                    <wps:wsp>
                      <wps:cNvCnPr/>
                      <wps:spPr>
                        <a:xfrm>
                          <a:off x="1574100" y="3780000"/>
                          <a:ext cx="7543800" cy="0"/>
                        </a:xfrm>
                        <a:prstGeom prst="straightConnector1">
                          <a:avLst/>
                        </a:prstGeom>
                        <a:noFill/>
                        <a:ln cap="flat" cmpd="sng" w="285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-828670</wp:posOffset>
                </wp:positionH>
                <wp:positionV relativeFrom="paragraph">
                  <wp:posOffset>0</wp:posOffset>
                </wp:positionV>
                <wp:extent cx="28575" cy="28575"/>
                <wp:effectExtent b="0" l="0" r="0" t="0"/>
                <wp:wrapNone/>
                <wp:docPr id="1"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28575" cy="28575"/>
                        </a:xfrm>
                        <a:prstGeom prst="rect"/>
                        <a:ln/>
                      </pic:spPr>
                    </pic:pic>
                  </a:graphicData>
                </a:graphic>
              </wp:anchor>
            </w:drawing>
          </mc:Fallback>
        </mc:AlternateContent>
      </w:r>
    </w:p>
    <w:p w:rsidR="00000000" w:rsidDel="00000000" w:rsidP="00000000" w:rsidRDefault="00000000" w:rsidRPr="00000000" w14:paraId="0000024C">
      <w:pPr>
        <w:spacing w:after="144" w:before="144"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Załączniki:</w:t>
      </w:r>
    </w:p>
    <w:p w:rsidR="00000000" w:rsidDel="00000000" w:rsidP="00000000" w:rsidRDefault="00000000" w:rsidRPr="00000000" w14:paraId="0000024D">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Rzut kondygnacji z zaznaczeniem lokalu mieszkalnego.</w:t>
      </w:r>
    </w:p>
    <w:p w:rsidR="00000000" w:rsidDel="00000000" w:rsidP="00000000" w:rsidRDefault="00000000" w:rsidRPr="00000000" w14:paraId="0000024E">
      <w:pPr>
        <w:spacing w:after="144" w:before="144"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Wzór umowy deweloperskiej.</w:t>
      </w:r>
    </w:p>
    <w:p w:rsidR="00000000" w:rsidDel="00000000" w:rsidP="00000000" w:rsidRDefault="00000000" w:rsidRPr="00000000" w14:paraId="0000024F">
      <w:pPr>
        <w:spacing w:after="144" w:before="144" w:line="240" w:lineRule="auto"/>
        <w:jc w:val="both"/>
        <w:rPr>
          <w:rFonts w:ascii="Times New Roman" w:cs="Times New Roman" w:eastAsia="Times New Roman" w:hAnsi="Times New Roman"/>
          <w:sz w:val="20"/>
          <w:szCs w:val="20"/>
        </w:rPr>
      </w:pPr>
      <w:bookmarkStart w:colFirst="0" w:colLast="0" w:name="_cnpy5xnd84k5" w:id="1"/>
      <w:bookmarkEnd w:id="1"/>
      <w:r w:rsidDel="00000000" w:rsidR="00000000" w:rsidRPr="00000000">
        <w:rPr>
          <w:rFonts w:ascii="Times New Roman" w:cs="Times New Roman" w:eastAsia="Times New Roman" w:hAnsi="Times New Roman"/>
          <w:sz w:val="20"/>
          <w:szCs w:val="20"/>
          <w:rtl w:val="0"/>
        </w:rPr>
        <w:t xml:space="preserve">3. Szkic koncepcji zagospodarowania terenu inwestycji i jego otoczenia z zaznaczeniem budynku oraz istotnych uwarunkowań lokalizacji inwestycji wynikających z istniejącego stanu użytkowania terenów sąsiednich (np. z funkcji terenu, stref ochronnych, uciążliwości). </w:t>
      </w:r>
    </w:p>
    <w:p w:rsidR="00000000" w:rsidDel="00000000" w:rsidP="00000000" w:rsidRDefault="00000000" w:rsidRPr="00000000" w14:paraId="00000250">
      <w:pPr>
        <w:spacing w:after="144" w:before="144" w:line="240" w:lineRule="auto"/>
        <w:jc w:val="both"/>
        <w:rPr>
          <w:rFonts w:ascii="Times New Roman" w:cs="Times New Roman" w:eastAsia="Times New Roman" w:hAnsi="Times New Roman"/>
          <w:sz w:val="20"/>
          <w:szCs w:val="20"/>
        </w:rPr>
      </w:pPr>
      <w:bookmarkStart w:colFirst="0" w:colLast="0" w:name="_excne26dab09" w:id="2"/>
      <w:bookmarkEnd w:id="2"/>
      <w:r w:rsidDel="00000000" w:rsidR="00000000" w:rsidRPr="00000000">
        <w:rPr>
          <w:rFonts w:ascii="Times New Roman" w:cs="Times New Roman" w:eastAsia="Times New Roman" w:hAnsi="Times New Roman"/>
          <w:sz w:val="20"/>
          <w:szCs w:val="20"/>
          <w:rtl w:val="0"/>
        </w:rPr>
        <w:t xml:space="preserve">4. Standard prac wykończeniowych (technologia wykończenia) lokalu, budynku i terenu wokół budynku usytuowanego na nieruchomości.</w:t>
      </w:r>
    </w:p>
    <w:p w:rsidR="00000000" w:rsidDel="00000000" w:rsidP="00000000" w:rsidRDefault="00000000" w:rsidRPr="00000000" w14:paraId="00000251">
      <w:pPr>
        <w:spacing w:after="144" w:before="144" w:line="240" w:lineRule="auto"/>
        <w:jc w:val="both"/>
        <w:rPr/>
      </w:pPr>
      <w:r w:rsidDel="00000000" w:rsidR="00000000" w:rsidRPr="00000000">
        <w:rPr>
          <w:rFonts w:ascii="Times New Roman" w:cs="Times New Roman" w:eastAsia="Times New Roman" w:hAnsi="Times New Roman"/>
          <w:sz w:val="20"/>
          <w:szCs w:val="20"/>
          <w:rtl w:val="0"/>
        </w:rPr>
        <w:t xml:space="preserve">5. Plan podziału przedsięwzięcia deweloperskiego na zadania inwestycyjne. </w:t>
      </w:r>
      <w:r w:rsidDel="00000000" w:rsidR="00000000" w:rsidRPr="00000000">
        <w:rPr>
          <w:rtl w:val="0"/>
        </w:rPr>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rPr/>
      </w:pPr>
      <w:r w:rsidDel="00000000" w:rsidR="00000000" w:rsidRPr="00000000">
        <w:rPr>
          <w:rtl w:val="0"/>
        </w:rPr>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rtl w:val="0"/>
        </w:rPr>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rtl w:val="0"/>
        </w:rPr>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rPr/>
      </w:pPr>
      <w:r w:rsidDel="00000000" w:rsidR="00000000" w:rsidRPr="00000000">
        <w:rPr>
          <w:rtl w:val="0"/>
        </w:rPr>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pPr>
      <w:r w:rsidDel="00000000" w:rsidR="00000000" w:rsidRPr="00000000">
        <w:rPr>
          <w:rtl w:val="0"/>
        </w:rPr>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rtl w:val="0"/>
        </w:rPr>
      </w:r>
    </w:p>
    <w:p w:rsidR="00000000" w:rsidDel="00000000" w:rsidP="00000000" w:rsidRDefault="00000000" w:rsidRPr="00000000" w14:paraId="00000268">
      <w:pPr>
        <w:rPr/>
      </w:pPr>
      <w:r w:rsidDel="00000000" w:rsidR="00000000" w:rsidRPr="00000000">
        <w:rPr>
          <w:rtl w:val="0"/>
        </w:rPr>
        <w:t xml:space="preserve">Załącznik 1</w:t>
      </w:r>
    </w:p>
    <w:p w:rsidR="00000000" w:rsidDel="00000000" w:rsidP="00000000" w:rsidRDefault="00000000" w:rsidRPr="00000000" w14:paraId="00000269">
      <w:pPr>
        <w:rPr/>
      </w:pPr>
      <w:r w:rsidDel="00000000" w:rsidR="00000000" w:rsidRPr="00000000">
        <w:rPr>
          <w:highlight w:val="yellow"/>
          <w:rtl w:val="0"/>
        </w:rPr>
        <w:t xml:space="preserve">Do wklejenia.</w:t>
      </w:r>
      <w:r w:rsidDel="00000000" w:rsidR="00000000" w:rsidRPr="00000000">
        <w:rPr>
          <w:rtl w:val="0"/>
        </w:rPr>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br w:type="page"/>
      </w:r>
      <w:r w:rsidDel="00000000" w:rsidR="00000000" w:rsidRPr="00000000">
        <w:rPr>
          <w:rtl w:val="0"/>
        </w:rPr>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t xml:space="preserve">Załącznik 2</w:t>
      </w:r>
    </w:p>
    <w:p w:rsidR="00000000" w:rsidDel="00000000" w:rsidP="00000000" w:rsidRDefault="00000000" w:rsidRPr="00000000" w14:paraId="0000026F">
      <w:pPr>
        <w:rPr/>
      </w:pPr>
      <w:r w:rsidDel="00000000" w:rsidR="00000000" w:rsidRPr="00000000">
        <w:rPr>
          <w:highlight w:val="yellow"/>
          <w:rtl w:val="0"/>
        </w:rPr>
        <w:t xml:space="preserve">Do wklejenia.</w:t>
      </w:r>
      <w:r w:rsidDel="00000000" w:rsidR="00000000" w:rsidRPr="00000000">
        <w:rPr>
          <w:rtl w:val="0"/>
        </w:rPr>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pPr>
      <w:r w:rsidDel="00000000" w:rsidR="00000000" w:rsidRPr="00000000">
        <w:rPr>
          <w:rtl w:val="0"/>
        </w:rPr>
        <w:t xml:space="preserve">Załącznik 3</w:t>
      </w:r>
    </w:p>
    <w:p w:rsidR="00000000" w:rsidDel="00000000" w:rsidP="00000000" w:rsidRDefault="00000000" w:rsidRPr="00000000" w14:paraId="0000028D">
      <w:pPr>
        <w:rPr/>
      </w:pPr>
      <w:r w:rsidDel="00000000" w:rsidR="00000000" w:rsidRPr="00000000">
        <w:rPr>
          <w:highlight w:val="yellow"/>
          <w:rtl w:val="0"/>
        </w:rPr>
        <w:t xml:space="preserve">Do wklejenia.</w:t>
      </w:r>
      <w:r w:rsidDel="00000000" w:rsidR="00000000" w:rsidRPr="00000000">
        <w:rPr>
          <w:rtl w:val="0"/>
        </w:rPr>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pPr>
      <w:r w:rsidDel="00000000" w:rsidR="00000000" w:rsidRPr="00000000">
        <w:rPr>
          <w:rtl w:val="0"/>
        </w:rPr>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pPr>
      <w:r w:rsidDel="00000000" w:rsidR="00000000" w:rsidRPr="00000000">
        <w:rPr>
          <w:rtl w:val="0"/>
        </w:rPr>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pPr>
      <w:r w:rsidDel="00000000" w:rsidR="00000000" w:rsidRPr="00000000">
        <w:rPr>
          <w:rtl w:val="0"/>
        </w:rPr>
      </w:r>
    </w:p>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rPr/>
      </w:pPr>
      <w:r w:rsidDel="00000000" w:rsidR="00000000" w:rsidRPr="00000000">
        <w:rPr>
          <w:rtl w:val="0"/>
        </w:rPr>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pPr>
      <w:r w:rsidDel="00000000" w:rsidR="00000000" w:rsidRPr="00000000">
        <w:rPr>
          <w:rtl w:val="0"/>
        </w:rPr>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rPr/>
      </w:pPr>
      <w:r w:rsidDel="00000000" w:rsidR="00000000" w:rsidRPr="00000000">
        <w:rPr>
          <w:rtl w:val="0"/>
        </w:rPr>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rPr/>
      </w:pPr>
      <w:r w:rsidDel="00000000" w:rsidR="00000000" w:rsidRPr="00000000">
        <w:rPr>
          <w:rtl w:val="0"/>
        </w:rPr>
      </w:r>
    </w:p>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r>
    </w:p>
    <w:tbl>
      <w:tblPr>
        <w:tblStyle w:val="Table6"/>
        <w:tblpPr w:leftFromText="180" w:rightFromText="180" w:topFromText="0" w:bottomFromText="0" w:vertAnchor="text" w:horzAnchor="text" w:tblpX="0" w:tblpY="0"/>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6657"/>
        <w:tblGridChange w:id="0">
          <w:tblGrid>
            <w:gridCol w:w="2405"/>
            <w:gridCol w:w="6657"/>
          </w:tblGrid>
        </w:tblGridChange>
      </w:tblGrid>
      <w:tr>
        <w:trPr>
          <w:cantSplit w:val="0"/>
          <w:trHeight w:val="360" w:hRule="atLeast"/>
          <w:tblHeader w:val="1"/>
        </w:trPr>
        <w:tc>
          <w:tcPr>
            <w:gridSpan w:val="2"/>
            <w:tcBorders>
              <w:top w:color="ffffff" w:space="0" w:sz="4" w:val="single"/>
              <w:left w:color="ffffff" w:space="0" w:sz="4" w:val="single"/>
              <w:right w:color="ffffff" w:space="0" w:sz="4" w:val="single"/>
            </w:tcBorders>
            <w:shd w:fill="f1f3f4" w:val="clear"/>
          </w:tcPr>
          <w:p w:rsidR="00000000" w:rsidDel="00000000" w:rsidP="00000000" w:rsidRDefault="00000000" w:rsidRPr="00000000" w14:paraId="000002A6">
            <w:pPr>
              <w:pStyle w:val="Heading2"/>
              <w:spacing w:after="120" w:before="120" w:lineRule="auto"/>
              <w:rPr/>
            </w:pPr>
            <w:r w:rsidDel="00000000" w:rsidR="00000000" w:rsidRPr="00000000">
              <w:rPr>
                <w:rtl w:val="0"/>
              </w:rPr>
            </w:r>
          </w:p>
        </w:tc>
      </w:tr>
      <w:tr>
        <w:trPr>
          <w:cantSplit w:val="0"/>
          <w:trHeight w:val="360" w:hRule="atLeast"/>
          <w:tblHeader w:val="1"/>
        </w:trPr>
        <w:tc>
          <w:tcPr>
            <w:gridSpan w:val="2"/>
            <w:tcBorders>
              <w:top w:color="ffffff" w:space="0" w:sz="4" w:val="single"/>
              <w:left w:color="ffffff" w:space="0" w:sz="4" w:val="single"/>
              <w:right w:color="ffffff" w:space="0" w:sz="4" w:val="single"/>
            </w:tcBorders>
            <w:shd w:fill="f1f3f4" w:val="clear"/>
          </w:tcPr>
          <w:p w:rsidR="00000000" w:rsidDel="00000000" w:rsidP="00000000" w:rsidRDefault="00000000" w:rsidRPr="00000000" w14:paraId="000002A8">
            <w:pPr>
              <w:pStyle w:val="Heading2"/>
              <w:spacing w:after="120" w:before="120" w:lineRule="auto"/>
              <w:rPr/>
            </w:pPr>
            <w:r w:rsidDel="00000000" w:rsidR="00000000" w:rsidRPr="00000000">
              <w:rPr>
                <w:rtl w:val="0"/>
              </w:rPr>
            </w:r>
          </w:p>
        </w:tc>
      </w:tr>
      <w:tr>
        <w:trPr>
          <w:cantSplit w:val="0"/>
          <w:trHeight w:val="360" w:hRule="atLeast"/>
          <w:tblHeader w:val="1"/>
        </w:trPr>
        <w:tc>
          <w:tcPr>
            <w:gridSpan w:val="2"/>
            <w:tcBorders>
              <w:top w:color="ffffff" w:space="0" w:sz="4" w:val="single"/>
              <w:left w:color="ffffff" w:space="0" w:sz="4" w:val="single"/>
              <w:right w:color="ffffff" w:space="0" w:sz="4" w:val="single"/>
            </w:tcBorders>
            <w:shd w:fill="f1f3f4" w:val="clear"/>
          </w:tcPr>
          <w:p w:rsidR="00000000" w:rsidDel="00000000" w:rsidP="00000000" w:rsidRDefault="00000000" w:rsidRPr="00000000" w14:paraId="000002AA">
            <w:pPr>
              <w:pStyle w:val="Heading2"/>
              <w:spacing w:after="120" w:before="120" w:lineRule="auto"/>
              <w:rPr/>
            </w:pPr>
            <w:bookmarkStart w:colFirst="0" w:colLast="0" w:name="_bsyvkcpe8wvb" w:id="3"/>
            <w:bookmarkEnd w:id="3"/>
            <w:r w:rsidDel="00000000" w:rsidR="00000000" w:rsidRPr="00000000">
              <w:rPr>
                <w:rtl w:val="0"/>
              </w:rPr>
            </w:r>
          </w:p>
        </w:tc>
      </w:tr>
      <w:tr>
        <w:trPr>
          <w:cantSplit w:val="0"/>
          <w:tblHeader w:val="0"/>
        </w:trPr>
        <w:tc>
          <w:tcPr>
            <w:gridSpan w:val="2"/>
            <w:tcBorders>
              <w:top w:color="ffffff" w:space="0" w:sz="4" w:val="single"/>
              <w:left w:color="ffffff" w:space="0" w:sz="4" w:val="single"/>
              <w:right w:color="ffffff" w:space="0" w:sz="4" w:val="single"/>
            </w:tcBorders>
          </w:tcPr>
          <w:p w:rsidR="00000000" w:rsidDel="00000000" w:rsidP="00000000" w:rsidRDefault="00000000" w:rsidRPr="00000000" w14:paraId="000002AC">
            <w:pPr>
              <w:rPr>
                <w:b w:val="1"/>
                <w:bCs w:val="1"/>
              </w:rPr>
            </w:pPr>
            <w:r w:rsidDel="00000000" w:rsidR="00000000" w:rsidRPr="00000000">
              <w:rPr>
                <w:b w:val="1"/>
                <w:bCs w:val="1"/>
                <w:rtl w:val="0"/>
              </w:rPr>
              <w:t xml:space="preserve">Załącznik 4</w:t>
            </w:r>
          </w:p>
        </w:tc>
      </w:tr>
      <w:tr>
        <w:trPr>
          <w:cantSplit w:val="0"/>
          <w:tblHeader w:val="0"/>
        </w:trPr>
        <w:tc>
          <w:tcPr>
            <w:gridSpan w:val="2"/>
          </w:tcPr>
          <w:p w:rsidR="00000000" w:rsidDel="00000000" w:rsidP="00000000" w:rsidRDefault="00000000" w:rsidRPr="00000000" w14:paraId="000002AE">
            <w:pPr>
              <w:jc w:val="center"/>
              <w:rPr>
                <w:b w:val="1"/>
                <w:bCs w:val="1"/>
              </w:rPr>
            </w:pPr>
            <w:r w:rsidDel="00000000" w:rsidR="00000000" w:rsidRPr="00000000">
              <w:rPr>
                <w:b w:val="1"/>
                <w:bCs w:val="1"/>
                <w:rtl w:val="0"/>
              </w:rPr>
              <w:t xml:space="preserve">STANDARDY WYKONANIA BUDYNKU</w:t>
            </w:r>
          </w:p>
        </w:tc>
      </w:tr>
      <w:tr>
        <w:trPr>
          <w:cantSplit w:val="0"/>
          <w:tblHeader w:val="0"/>
        </w:trPr>
        <w:tc>
          <w:tcPr/>
          <w:p w:rsidR="00000000" w:rsidDel="00000000" w:rsidP="00000000" w:rsidRDefault="00000000" w:rsidRPr="00000000" w14:paraId="000002B0">
            <w:pPr>
              <w:rPr>
                <w:b w:val="1"/>
                <w:bCs w:val="1"/>
              </w:rPr>
            </w:pPr>
            <w:r w:rsidDel="00000000" w:rsidR="00000000" w:rsidRPr="00000000">
              <w:rPr>
                <w:b w:val="1"/>
                <w:bCs w:val="1"/>
                <w:rtl w:val="0"/>
              </w:rPr>
              <w:t xml:space="preserve">ELEMENT BUDYNKU</w:t>
            </w:r>
          </w:p>
        </w:tc>
        <w:tc>
          <w:tcPr/>
          <w:p w:rsidR="00000000" w:rsidDel="00000000" w:rsidP="00000000" w:rsidRDefault="00000000" w:rsidRPr="00000000" w14:paraId="000002B1">
            <w:pPr>
              <w:jc w:val="center"/>
              <w:rPr>
                <w:b w:val="1"/>
                <w:bCs w:val="1"/>
              </w:rPr>
            </w:pPr>
            <w:r w:rsidDel="00000000" w:rsidR="00000000" w:rsidRPr="00000000">
              <w:rPr>
                <w:b w:val="1"/>
                <w:bCs w:val="1"/>
                <w:rtl w:val="0"/>
              </w:rPr>
              <w:t xml:space="preserve">TECHNOLOGIA WYKONANIA/MATERIAŁ</w:t>
            </w:r>
          </w:p>
        </w:tc>
      </w:tr>
      <w:tr>
        <w:trPr>
          <w:cantSplit w:val="0"/>
          <w:tblHeader w:val="0"/>
        </w:trPr>
        <w:tc>
          <w:tcPr>
            <w:gridSpan w:val="2"/>
            <w:shd w:fill="d9d9d9" w:val="clear"/>
          </w:tcPr>
          <w:p w:rsidR="00000000" w:rsidDel="00000000" w:rsidP="00000000" w:rsidRDefault="00000000" w:rsidRPr="00000000" w14:paraId="000002B2">
            <w:pPr>
              <w:jc w:val="center"/>
              <w:rPr/>
            </w:pPr>
            <w:r w:rsidDel="00000000" w:rsidR="00000000" w:rsidRPr="00000000">
              <w:rPr>
                <w:rtl w:val="0"/>
              </w:rPr>
              <w:t xml:space="preserve">LOKAL MIESZKALNY</w:t>
            </w:r>
          </w:p>
        </w:tc>
      </w:tr>
      <w:tr>
        <w:trPr>
          <w:cantSplit w:val="0"/>
          <w:tblHeader w:val="0"/>
        </w:trPr>
        <w:tc>
          <w:tcPr/>
          <w:p w:rsidR="00000000" w:rsidDel="00000000" w:rsidP="00000000" w:rsidRDefault="00000000" w:rsidRPr="00000000" w14:paraId="000002B4">
            <w:pPr>
              <w:rPr/>
            </w:pPr>
            <w:r w:rsidDel="00000000" w:rsidR="00000000" w:rsidRPr="00000000">
              <w:rPr>
                <w:rtl w:val="0"/>
              </w:rPr>
              <w:t xml:space="preserve">Element budynku</w:t>
            </w:r>
          </w:p>
        </w:tc>
        <w:tc>
          <w:tcPr/>
          <w:p w:rsidR="00000000" w:rsidDel="00000000" w:rsidP="00000000" w:rsidRDefault="00000000" w:rsidRPr="00000000" w14:paraId="000002B5">
            <w:pPr>
              <w:rPr/>
            </w:pPr>
            <w:r w:rsidDel="00000000" w:rsidR="00000000" w:rsidRPr="00000000">
              <w:rPr>
                <w:rtl w:val="0"/>
              </w:rPr>
              <w:t xml:space="preserve">Technologia wykonania / materiał</w:t>
            </w:r>
          </w:p>
        </w:tc>
      </w:tr>
      <w:tr>
        <w:trPr>
          <w:cantSplit w:val="0"/>
          <w:tblHeader w:val="0"/>
        </w:trPr>
        <w:tc>
          <w:tcPr/>
          <w:p w:rsidR="00000000" w:rsidDel="00000000" w:rsidP="00000000" w:rsidRDefault="00000000" w:rsidRPr="00000000" w14:paraId="000002B6">
            <w:pPr>
              <w:rPr/>
            </w:pPr>
            <w:r w:rsidDel="00000000" w:rsidR="00000000" w:rsidRPr="00000000">
              <w:rPr>
                <w:rtl w:val="0"/>
              </w:rPr>
              <w:t xml:space="preserve">Ściany konstrukcyjne</w:t>
            </w:r>
          </w:p>
        </w:tc>
        <w:tc>
          <w:tcPr/>
          <w:p w:rsidR="00000000" w:rsidDel="00000000" w:rsidP="00000000" w:rsidRDefault="00000000" w:rsidRPr="00000000" w14:paraId="000002B7">
            <w:pPr>
              <w:rPr/>
            </w:pPr>
            <w:r w:rsidDel="00000000" w:rsidR="00000000" w:rsidRPr="00000000">
              <w:rPr>
                <w:rtl w:val="0"/>
              </w:rPr>
              <w:t xml:space="preserve">Ściany konstrukcyjne w technologii żelbetowej lub ceramicznej. UWAGA: wyburzanie przesuwane czy powiększanie jakichkolwiek otworów w ścianach nośnych jest niedozwolone. Brak możliwości wkuć rur w ściany konstrukcyjne.</w:t>
            </w:r>
          </w:p>
        </w:tc>
      </w:tr>
      <w:tr>
        <w:trPr>
          <w:cantSplit w:val="0"/>
          <w:tblHeader w:val="0"/>
        </w:trPr>
        <w:tc>
          <w:tcPr>
            <w:tcBorders>
              <w:right w:color="ffffff" w:space="0" w:sz="4" w:val="single"/>
            </w:tcBorders>
          </w:tcPr>
          <w:p w:rsidR="00000000" w:rsidDel="00000000" w:rsidP="00000000" w:rsidRDefault="00000000" w:rsidRPr="00000000" w14:paraId="000002B8">
            <w:pPr>
              <w:rPr/>
            </w:pPr>
            <w:r w:rsidDel="00000000" w:rsidR="00000000" w:rsidRPr="00000000">
              <w:rPr>
                <w:rtl w:val="0"/>
              </w:rPr>
              <w:t xml:space="preserve">Stropy</w:t>
            </w:r>
          </w:p>
        </w:tc>
        <w:tc>
          <w:tcPr>
            <w:tcBorders>
              <w:left w:color="ffffff" w:space="0" w:sz="4" w:val="single"/>
            </w:tcBorders>
          </w:tcPr>
          <w:p w:rsidR="00000000" w:rsidDel="00000000" w:rsidP="00000000" w:rsidRDefault="00000000" w:rsidRPr="00000000" w14:paraId="000002B9">
            <w:pPr>
              <w:rPr/>
            </w:pPr>
            <w:r w:rsidDel="00000000" w:rsidR="00000000" w:rsidRPr="00000000">
              <w:rPr>
                <w:rtl w:val="0"/>
              </w:rPr>
              <w:t xml:space="preserve">Strop parteru wykonany w technologii żelbetowej</w:t>
            </w:r>
          </w:p>
          <w:p w:rsidR="00000000" w:rsidDel="00000000" w:rsidP="00000000" w:rsidRDefault="00000000" w:rsidRPr="00000000" w14:paraId="000002BA">
            <w:pPr>
              <w:rPr/>
            </w:pPr>
            <w:r w:rsidDel="00000000" w:rsidR="00000000" w:rsidRPr="00000000">
              <w:rPr>
                <w:rtl w:val="0"/>
              </w:rPr>
              <w:t xml:space="preserve">Strop piętra wykonany w technologii drewnianej - belki 22/8, płyta osb grubości 2 cm, wełna mineralna między belkami, stelaż aluminiowy, folia, płyta kartonowo gipsowa</w:t>
            </w:r>
          </w:p>
          <w:p w:rsidR="00000000" w:rsidDel="00000000" w:rsidP="00000000" w:rsidRDefault="00000000" w:rsidRPr="00000000" w14:paraId="000002BB">
            <w:pPr>
              <w:rPr/>
            </w:pPr>
            <w:r w:rsidDel="00000000" w:rsidR="00000000" w:rsidRPr="00000000">
              <w:rPr>
                <w:rtl w:val="0"/>
              </w:rPr>
              <w:t xml:space="preserve">Izolacja poddasza wykonana pianą pur </w:t>
            </w:r>
          </w:p>
        </w:tc>
      </w:tr>
      <w:tr>
        <w:trPr>
          <w:cantSplit w:val="0"/>
          <w:tblHeader w:val="0"/>
        </w:trPr>
        <w:tc>
          <w:tcPr/>
          <w:p w:rsidR="00000000" w:rsidDel="00000000" w:rsidP="00000000" w:rsidRDefault="00000000" w:rsidRPr="00000000" w14:paraId="000002BC">
            <w:pPr>
              <w:rPr/>
            </w:pPr>
            <w:r w:rsidDel="00000000" w:rsidR="00000000" w:rsidRPr="00000000">
              <w:rPr>
                <w:rtl w:val="0"/>
              </w:rPr>
              <w:t xml:space="preserve">Ściany działowe</w:t>
            </w:r>
          </w:p>
        </w:tc>
        <w:tc>
          <w:tcPr/>
          <w:p w:rsidR="00000000" w:rsidDel="00000000" w:rsidP="00000000" w:rsidRDefault="00000000" w:rsidRPr="00000000" w14:paraId="000002BD">
            <w:pPr>
              <w:rPr/>
            </w:pPr>
            <w:r w:rsidDel="00000000" w:rsidR="00000000" w:rsidRPr="00000000">
              <w:rPr>
                <w:rtl w:val="0"/>
              </w:rPr>
              <w:t xml:space="preserve">Bloczki gipsowe wykonane gładzią gipsową z naciętą dylatacją otwartą na połączeniach ze stropem i ścianami konstrukcyjnymi (wypełnienie dylatacji oraz odpylenie ścian po stronie kupującego mieszkanie).</w:t>
            </w:r>
          </w:p>
        </w:tc>
      </w:tr>
      <w:tr>
        <w:trPr>
          <w:cantSplit w:val="0"/>
          <w:tblHeader w:val="0"/>
        </w:trPr>
        <w:tc>
          <w:tcPr/>
          <w:p w:rsidR="00000000" w:rsidDel="00000000" w:rsidP="00000000" w:rsidRDefault="00000000" w:rsidRPr="00000000" w14:paraId="000002BE">
            <w:pPr>
              <w:rPr/>
            </w:pPr>
            <w:r w:rsidDel="00000000" w:rsidR="00000000" w:rsidRPr="00000000">
              <w:rPr>
                <w:rtl w:val="0"/>
              </w:rPr>
              <w:t xml:space="preserve">Tynki</w:t>
            </w:r>
          </w:p>
        </w:tc>
        <w:tc>
          <w:tcPr/>
          <w:p w:rsidR="00000000" w:rsidDel="00000000" w:rsidP="00000000" w:rsidRDefault="00000000" w:rsidRPr="00000000" w14:paraId="000002BF">
            <w:pPr>
              <w:rPr/>
            </w:pPr>
            <w:r w:rsidDel="00000000" w:rsidR="00000000" w:rsidRPr="00000000">
              <w:rPr>
                <w:rtl w:val="0"/>
              </w:rPr>
              <w:t xml:space="preserve">W lokalach tynki gipsowe zatarte na gładko na ścianach i suficie bez gładzi gipsowej. W łazienkach i WC tynk zacierany na ostro bez gładzi na ściankach gipsowych, odpylenie tynków i wypełnienie naciętych dylatacji po stronie kupującego mieszkanie.</w:t>
            </w:r>
          </w:p>
        </w:tc>
      </w:tr>
      <w:tr>
        <w:trPr>
          <w:cantSplit w:val="0"/>
          <w:tblHeader w:val="0"/>
        </w:trPr>
        <w:tc>
          <w:tcPr/>
          <w:p w:rsidR="00000000" w:rsidDel="00000000" w:rsidP="00000000" w:rsidRDefault="00000000" w:rsidRPr="00000000" w14:paraId="000002C0">
            <w:pPr>
              <w:rPr/>
            </w:pPr>
            <w:r w:rsidDel="00000000" w:rsidR="00000000" w:rsidRPr="00000000">
              <w:rPr>
                <w:rtl w:val="0"/>
              </w:rPr>
              <w:t xml:space="preserve">Ocieplenie i elewacja</w:t>
            </w:r>
          </w:p>
        </w:tc>
        <w:tc>
          <w:tcPr/>
          <w:p w:rsidR="00000000" w:rsidDel="00000000" w:rsidP="00000000" w:rsidRDefault="00000000" w:rsidRPr="00000000" w14:paraId="000002C1">
            <w:pPr>
              <w:rPr/>
            </w:pPr>
            <w:r w:rsidDel="00000000" w:rsidR="00000000" w:rsidRPr="00000000">
              <w:rPr>
                <w:rtl w:val="0"/>
              </w:rPr>
              <w:t xml:space="preserve">Ocieplenie wykonane ze styropianu grubości 20cm, siatka elewacyjna z włókna szklanego, struktura </w:t>
            </w:r>
          </w:p>
        </w:tc>
      </w:tr>
      <w:tr>
        <w:trPr>
          <w:cantSplit w:val="0"/>
          <w:tblHeader w:val="0"/>
        </w:trPr>
        <w:tc>
          <w:tcPr/>
          <w:p w:rsidR="00000000" w:rsidDel="00000000" w:rsidP="00000000" w:rsidRDefault="00000000" w:rsidRPr="00000000" w14:paraId="000002C2">
            <w:pPr>
              <w:rPr/>
            </w:pPr>
            <w:r w:rsidDel="00000000" w:rsidR="00000000" w:rsidRPr="00000000">
              <w:rPr>
                <w:rtl w:val="0"/>
              </w:rPr>
              <w:t xml:space="preserve">Posadzki</w:t>
            </w:r>
          </w:p>
        </w:tc>
        <w:tc>
          <w:tcPr/>
          <w:p w:rsidR="00000000" w:rsidDel="00000000" w:rsidP="00000000" w:rsidRDefault="00000000" w:rsidRPr="00000000" w14:paraId="000002C3">
            <w:pPr>
              <w:rPr/>
            </w:pPr>
            <w:r w:rsidDel="00000000" w:rsidR="00000000" w:rsidRPr="00000000">
              <w:rPr>
                <w:rtl w:val="0"/>
              </w:rPr>
              <w:t xml:space="preserve">Ocieplenie podłogowe, wylewki cementowe na zbrojeniem rozproszonym z izolacją pod posadzkowo.</w:t>
            </w:r>
          </w:p>
        </w:tc>
      </w:tr>
      <w:tr>
        <w:trPr>
          <w:cantSplit w:val="0"/>
          <w:tblHeader w:val="0"/>
        </w:trPr>
        <w:tc>
          <w:tcPr/>
          <w:p w:rsidR="00000000" w:rsidDel="00000000" w:rsidP="00000000" w:rsidRDefault="00000000" w:rsidRPr="00000000" w14:paraId="000002C4">
            <w:pPr>
              <w:rPr/>
            </w:pPr>
            <w:r w:rsidDel="00000000" w:rsidR="00000000" w:rsidRPr="00000000">
              <w:rPr>
                <w:rtl w:val="0"/>
              </w:rPr>
              <w:t xml:space="preserve">Drzwi wejściowe</w:t>
            </w:r>
          </w:p>
        </w:tc>
        <w:tc>
          <w:tcPr/>
          <w:p w:rsidR="00000000" w:rsidDel="00000000" w:rsidP="00000000" w:rsidRDefault="00000000" w:rsidRPr="00000000" w14:paraId="000002C5">
            <w:pPr>
              <w:rPr/>
            </w:pPr>
            <w:r w:rsidDel="00000000" w:rsidR="00000000" w:rsidRPr="00000000">
              <w:rPr>
                <w:rtl w:val="0"/>
              </w:rPr>
              <w:t xml:space="preserve">Drzwi do lokalu mieszkalnego w okleinie drewnopodobnej, obustronne opaski systemowe.</w:t>
            </w:r>
          </w:p>
        </w:tc>
      </w:tr>
      <w:tr>
        <w:trPr>
          <w:cantSplit w:val="0"/>
          <w:tblHeader w:val="0"/>
        </w:trPr>
        <w:tc>
          <w:tcPr/>
          <w:p w:rsidR="00000000" w:rsidDel="00000000" w:rsidP="00000000" w:rsidRDefault="00000000" w:rsidRPr="00000000" w14:paraId="000002C6">
            <w:pPr>
              <w:rPr/>
            </w:pPr>
            <w:r w:rsidDel="00000000" w:rsidR="00000000" w:rsidRPr="00000000">
              <w:rPr>
                <w:rtl w:val="0"/>
              </w:rPr>
              <w:t xml:space="preserve">Okna</w:t>
            </w:r>
          </w:p>
        </w:tc>
        <w:tc>
          <w:tcPr/>
          <w:p w:rsidR="00000000" w:rsidDel="00000000" w:rsidP="00000000" w:rsidRDefault="00000000" w:rsidRPr="00000000" w14:paraId="000002C7">
            <w:pPr>
              <w:rPr/>
            </w:pPr>
            <w:r w:rsidDel="00000000" w:rsidR="00000000" w:rsidRPr="00000000">
              <w:rPr>
                <w:rtl w:val="0"/>
              </w:rPr>
              <w:t xml:space="preserve">Okna trzyszybowe rozwieralno-uchylne lub stałe wykonane z PVC (U=1,1 W/m2K). Okna wyposażone w nawiewniki ciśnieniowe.</w:t>
            </w:r>
          </w:p>
        </w:tc>
      </w:tr>
      <w:tr>
        <w:trPr>
          <w:cantSplit w:val="0"/>
          <w:tblHeader w:val="0"/>
        </w:trPr>
        <w:tc>
          <w:tcPr/>
          <w:p w:rsidR="00000000" w:rsidDel="00000000" w:rsidP="00000000" w:rsidRDefault="00000000" w:rsidRPr="00000000" w14:paraId="000002C8">
            <w:pPr>
              <w:rPr/>
            </w:pPr>
            <w:r w:rsidDel="00000000" w:rsidR="00000000" w:rsidRPr="00000000">
              <w:rPr>
                <w:rtl w:val="0"/>
              </w:rPr>
              <w:t xml:space="preserve">Balkony</w:t>
            </w:r>
          </w:p>
        </w:tc>
        <w:tc>
          <w:tcPr/>
          <w:p w:rsidR="00000000" w:rsidDel="00000000" w:rsidP="00000000" w:rsidRDefault="00000000" w:rsidRPr="00000000" w14:paraId="000002C9">
            <w:pPr>
              <w:rPr/>
            </w:pPr>
            <w:r w:rsidDel="00000000" w:rsidR="00000000" w:rsidRPr="00000000">
              <w:rPr>
                <w:rtl w:val="0"/>
              </w:rPr>
              <w:t xml:space="preserve">Płyty balkonowe monolityczne od góry żywica. Balustrady szczebelkowe wg projektu.</w:t>
            </w:r>
          </w:p>
        </w:tc>
      </w:tr>
      <w:tr>
        <w:trPr>
          <w:cantSplit w:val="0"/>
          <w:tblHeader w:val="0"/>
        </w:trPr>
        <w:tc>
          <w:tcPr/>
          <w:p w:rsidR="00000000" w:rsidDel="00000000" w:rsidP="00000000" w:rsidRDefault="00000000" w:rsidRPr="00000000" w14:paraId="000002CA">
            <w:pPr>
              <w:rPr/>
            </w:pPr>
            <w:r w:rsidDel="00000000" w:rsidR="00000000" w:rsidRPr="00000000">
              <w:rPr>
                <w:rtl w:val="0"/>
              </w:rPr>
              <w:t xml:space="preserve">Parapety wewnętrzne</w:t>
            </w:r>
          </w:p>
        </w:tc>
        <w:tc>
          <w:tcPr/>
          <w:p w:rsidR="00000000" w:rsidDel="00000000" w:rsidP="00000000" w:rsidRDefault="00000000" w:rsidRPr="00000000" w14:paraId="000002CB">
            <w:pPr>
              <w:rPr/>
            </w:pPr>
            <w:r w:rsidDel="00000000" w:rsidR="00000000" w:rsidRPr="00000000">
              <w:rPr>
                <w:rtl w:val="0"/>
              </w:rPr>
              <w:t xml:space="preserve">Parapety z konglomeratu grubości 2 cm.</w:t>
            </w:r>
          </w:p>
        </w:tc>
      </w:tr>
      <w:tr>
        <w:trPr>
          <w:cantSplit w:val="0"/>
          <w:tblHeader w:val="0"/>
        </w:trPr>
        <w:tc>
          <w:tcPr/>
          <w:p w:rsidR="00000000" w:rsidDel="00000000" w:rsidP="00000000" w:rsidRDefault="00000000" w:rsidRPr="00000000" w14:paraId="000002CC">
            <w:pPr>
              <w:rPr/>
            </w:pPr>
            <w:r w:rsidDel="00000000" w:rsidR="00000000" w:rsidRPr="00000000">
              <w:rPr>
                <w:rtl w:val="0"/>
              </w:rPr>
              <w:t xml:space="preserve">Parapety zewnętrzne</w:t>
            </w:r>
          </w:p>
        </w:tc>
        <w:tc>
          <w:tcPr/>
          <w:p w:rsidR="00000000" w:rsidDel="00000000" w:rsidP="00000000" w:rsidRDefault="00000000" w:rsidRPr="00000000" w14:paraId="000002CD">
            <w:pPr>
              <w:rPr/>
            </w:pPr>
            <w:r w:rsidDel="00000000" w:rsidR="00000000" w:rsidRPr="00000000">
              <w:rPr>
                <w:rtl w:val="0"/>
              </w:rPr>
              <w:t xml:space="preserve">Parapety z blachy stalowej malowane.</w:t>
            </w:r>
          </w:p>
        </w:tc>
      </w:tr>
      <w:tr>
        <w:trPr>
          <w:cantSplit w:val="0"/>
          <w:tblHeader w:val="0"/>
        </w:trPr>
        <w:tc>
          <w:tcPr/>
          <w:p w:rsidR="00000000" w:rsidDel="00000000" w:rsidP="00000000" w:rsidRDefault="00000000" w:rsidRPr="00000000" w14:paraId="000002CE">
            <w:pPr>
              <w:rPr/>
            </w:pPr>
            <w:r w:rsidDel="00000000" w:rsidR="00000000" w:rsidRPr="00000000">
              <w:rPr>
                <w:rtl w:val="0"/>
              </w:rPr>
              <w:t xml:space="preserve">Instalacja CO</w:t>
            </w:r>
          </w:p>
        </w:tc>
        <w:tc>
          <w:tcPr/>
          <w:p w:rsidR="00000000" w:rsidDel="00000000" w:rsidP="00000000" w:rsidRDefault="00000000" w:rsidRPr="00000000" w14:paraId="000002CF">
            <w:pPr>
              <w:rPr/>
            </w:pPr>
            <w:r w:rsidDel="00000000" w:rsidR="00000000" w:rsidRPr="00000000">
              <w:rPr>
                <w:rtl w:val="0"/>
              </w:rPr>
              <w:t xml:space="preserve">W pokojach, kuchni i przedpokojach grzejniki stalowe panelowe z zaworem termostatycznym; w łazienkach grzejniki drabinkowe; przewody w warstwach podłogowych; indywidualny licznik ciepła.</w:t>
            </w:r>
          </w:p>
        </w:tc>
      </w:tr>
      <w:tr>
        <w:trPr>
          <w:cantSplit w:val="0"/>
          <w:tblHeader w:val="0"/>
        </w:trPr>
        <w:tc>
          <w:tcPr/>
          <w:p w:rsidR="00000000" w:rsidDel="00000000" w:rsidP="00000000" w:rsidRDefault="00000000" w:rsidRPr="00000000" w14:paraId="000002D0">
            <w:pPr>
              <w:rPr/>
            </w:pPr>
            <w:r w:rsidDel="00000000" w:rsidR="00000000" w:rsidRPr="00000000">
              <w:rPr>
                <w:rtl w:val="0"/>
              </w:rPr>
              <w:t xml:space="preserve">Instalacja wod.-kan.</w:t>
            </w:r>
          </w:p>
        </w:tc>
        <w:tc>
          <w:tcPr/>
          <w:p w:rsidR="00000000" w:rsidDel="00000000" w:rsidP="00000000" w:rsidRDefault="00000000" w:rsidRPr="00000000" w14:paraId="000002D1">
            <w:pPr>
              <w:rPr/>
            </w:pPr>
            <w:r w:rsidDel="00000000" w:rsidR="00000000" w:rsidRPr="00000000">
              <w:rPr>
                <w:rtl w:val="0"/>
              </w:rPr>
              <w:t xml:space="preserve">Instalacje wody zimnej i ciepłej z rur wielowarstwowych. Kanalizacja sanitarna wewnętrzna z rur polipropylenowych. Instalacje wod-kan prowadzone po zewnętrznej powierzchni ścian konstrukcyjnych.</w:t>
            </w:r>
          </w:p>
        </w:tc>
      </w:tr>
      <w:tr>
        <w:trPr>
          <w:cantSplit w:val="0"/>
          <w:tblHeader w:val="0"/>
        </w:trPr>
        <w:tc>
          <w:tcPr/>
          <w:p w:rsidR="00000000" w:rsidDel="00000000" w:rsidP="00000000" w:rsidRDefault="00000000" w:rsidRPr="00000000" w14:paraId="000002D2">
            <w:pPr>
              <w:rPr/>
            </w:pPr>
            <w:r w:rsidDel="00000000" w:rsidR="00000000" w:rsidRPr="00000000">
              <w:rPr>
                <w:rtl w:val="0"/>
              </w:rPr>
              <w:t xml:space="preserve">Instalacja wentylacyjna</w:t>
            </w:r>
          </w:p>
        </w:tc>
        <w:tc>
          <w:tcPr/>
          <w:p w:rsidR="00000000" w:rsidDel="00000000" w:rsidP="00000000" w:rsidRDefault="00000000" w:rsidRPr="00000000" w14:paraId="000002D3">
            <w:pPr>
              <w:rPr/>
            </w:pPr>
            <w:r w:rsidDel="00000000" w:rsidR="00000000" w:rsidRPr="00000000">
              <w:rPr>
                <w:rtl w:val="0"/>
              </w:rPr>
              <w:t xml:space="preserve">System wentylacji jednorurowej wyciągowej mechanicznej (wentylatory dachowe). Nawiewniki ciśnieniowe w oknach. W kuchniach dodatkowy pion wentylacyjny do okapu.</w:t>
            </w:r>
          </w:p>
        </w:tc>
      </w:tr>
      <w:tr>
        <w:trPr>
          <w:cantSplit w:val="0"/>
          <w:tblHeader w:val="0"/>
        </w:trPr>
        <w:tc>
          <w:tcPr/>
          <w:p w:rsidR="00000000" w:rsidDel="00000000" w:rsidP="00000000" w:rsidRDefault="00000000" w:rsidRPr="00000000" w14:paraId="000002D4">
            <w:pPr>
              <w:rPr/>
            </w:pPr>
            <w:r w:rsidDel="00000000" w:rsidR="00000000" w:rsidRPr="00000000">
              <w:rPr>
                <w:rtl w:val="0"/>
              </w:rPr>
              <w:t xml:space="preserve">Instalacja elektryczna</w:t>
            </w:r>
          </w:p>
        </w:tc>
        <w:tc>
          <w:tcPr/>
          <w:p w:rsidR="00000000" w:rsidDel="00000000" w:rsidP="00000000" w:rsidRDefault="00000000" w:rsidRPr="00000000" w14:paraId="000002D5">
            <w:pPr>
              <w:rPr/>
            </w:pPr>
            <w:r w:rsidDel="00000000" w:rsidR="00000000" w:rsidRPr="00000000">
              <w:rPr>
                <w:rtl w:val="0"/>
              </w:rPr>
              <w:t xml:space="preserve">Moc przyłączeniowa 11 kW. Tablice mieszkaniowe przy drzwiach wejściowych. Osprzęt podtynkowy. Gniazdka hermetyczne w łazienkach i WC. Wideodomofon – możliwość montażu indywidualnego.</w:t>
            </w:r>
          </w:p>
        </w:tc>
      </w:tr>
      <w:tr>
        <w:trPr>
          <w:cantSplit w:val="0"/>
          <w:tblHeader w:val="0"/>
        </w:trPr>
        <w:tc>
          <w:tcPr/>
          <w:p w:rsidR="00000000" w:rsidDel="00000000" w:rsidP="00000000" w:rsidRDefault="00000000" w:rsidRPr="00000000" w14:paraId="000002D6">
            <w:pPr>
              <w:rPr/>
            </w:pPr>
            <w:r w:rsidDel="00000000" w:rsidR="00000000" w:rsidRPr="00000000">
              <w:rPr>
                <w:rtl w:val="0"/>
              </w:rPr>
              <w:t xml:space="preserve">Instalacja teletechniczna</w:t>
            </w:r>
          </w:p>
        </w:tc>
        <w:tc>
          <w:tcPr/>
          <w:p w:rsidR="00000000" w:rsidDel="00000000" w:rsidP="00000000" w:rsidRDefault="00000000" w:rsidRPr="00000000" w14:paraId="000002D7">
            <w:pPr>
              <w:rPr/>
            </w:pPr>
            <w:r w:rsidDel="00000000" w:rsidR="00000000" w:rsidRPr="00000000">
              <w:rPr>
                <w:rtl w:val="0"/>
              </w:rPr>
              <w:t xml:space="preserve">Instalacja domofonowa, RTV, internetowa.</w:t>
            </w:r>
          </w:p>
        </w:tc>
      </w:tr>
      <w:tr>
        <w:trPr>
          <w:cantSplit w:val="0"/>
          <w:tblHeader w:val="0"/>
        </w:trPr>
        <w:tc>
          <w:tcPr>
            <w:gridSpan w:val="2"/>
            <w:shd w:fill="d9d9d9" w:val="clear"/>
          </w:tcPr>
          <w:p w:rsidR="00000000" w:rsidDel="00000000" w:rsidP="00000000" w:rsidRDefault="00000000" w:rsidRPr="00000000" w14:paraId="000002D8">
            <w:pPr>
              <w:jc w:val="center"/>
              <w:rPr>
                <w:b w:val="1"/>
                <w:bCs w:val="1"/>
              </w:rPr>
            </w:pPr>
            <w:r w:rsidDel="00000000" w:rsidR="00000000" w:rsidRPr="00000000">
              <w:rPr>
                <w:b w:val="1"/>
                <w:bCs w:val="1"/>
                <w:rtl w:val="0"/>
              </w:rPr>
              <w:t xml:space="preserve">ZAGOSPODAROWANIE TERENU</w:t>
            </w:r>
          </w:p>
        </w:tc>
      </w:tr>
      <w:tr>
        <w:trPr>
          <w:cantSplit w:val="0"/>
          <w:tblHeader w:val="0"/>
        </w:trPr>
        <w:tc>
          <w:tcPr/>
          <w:p w:rsidR="00000000" w:rsidDel="00000000" w:rsidP="00000000" w:rsidRDefault="00000000" w:rsidRPr="00000000" w14:paraId="000002DA">
            <w:pPr>
              <w:rPr/>
            </w:pPr>
            <w:r w:rsidDel="00000000" w:rsidR="00000000" w:rsidRPr="00000000">
              <w:rPr>
                <w:rtl w:val="0"/>
              </w:rPr>
              <w:t xml:space="preserve">Drogi i place</w:t>
            </w:r>
          </w:p>
        </w:tc>
        <w:tc>
          <w:tcPr/>
          <w:p w:rsidR="00000000" w:rsidDel="00000000" w:rsidP="00000000" w:rsidRDefault="00000000" w:rsidRPr="00000000" w14:paraId="000002DB">
            <w:pPr>
              <w:rPr/>
            </w:pPr>
            <w:r w:rsidDel="00000000" w:rsidR="00000000" w:rsidRPr="00000000">
              <w:rPr>
                <w:rtl w:val="0"/>
              </w:rPr>
              <w:t xml:space="preserve">Kostka betonowa.</w:t>
            </w:r>
          </w:p>
        </w:tc>
      </w:tr>
      <w:tr>
        <w:trPr>
          <w:cantSplit w:val="0"/>
          <w:tblHeader w:val="0"/>
        </w:trPr>
        <w:tc>
          <w:tcPr/>
          <w:p w:rsidR="00000000" w:rsidDel="00000000" w:rsidP="00000000" w:rsidRDefault="00000000" w:rsidRPr="00000000" w14:paraId="000002DC">
            <w:pPr>
              <w:rPr/>
            </w:pPr>
            <w:r w:rsidDel="00000000" w:rsidR="00000000" w:rsidRPr="00000000">
              <w:rPr>
                <w:rtl w:val="0"/>
              </w:rPr>
              <w:t xml:space="preserve">Chodniki</w:t>
            </w:r>
          </w:p>
        </w:tc>
        <w:tc>
          <w:tcPr/>
          <w:p w:rsidR="00000000" w:rsidDel="00000000" w:rsidP="00000000" w:rsidRDefault="00000000" w:rsidRPr="00000000" w14:paraId="000002DD">
            <w:pPr>
              <w:rPr/>
            </w:pPr>
            <w:r w:rsidDel="00000000" w:rsidR="00000000" w:rsidRPr="00000000">
              <w:rPr>
                <w:rtl w:val="0"/>
              </w:rPr>
              <w:t xml:space="preserve">Kostka betonowa.</w:t>
            </w:r>
          </w:p>
        </w:tc>
      </w:tr>
      <w:tr>
        <w:trPr>
          <w:cantSplit w:val="0"/>
          <w:tblHeader w:val="0"/>
        </w:trPr>
        <w:tc>
          <w:tcPr/>
          <w:p w:rsidR="00000000" w:rsidDel="00000000" w:rsidP="00000000" w:rsidRDefault="00000000" w:rsidRPr="00000000" w14:paraId="000002DE">
            <w:pPr>
              <w:rPr/>
            </w:pPr>
            <w:r w:rsidDel="00000000" w:rsidR="00000000" w:rsidRPr="00000000">
              <w:rPr>
                <w:rtl w:val="0"/>
              </w:rPr>
              <w:t xml:space="preserve">Tereny zielone</w:t>
            </w:r>
          </w:p>
        </w:tc>
        <w:tc>
          <w:tcPr/>
          <w:p w:rsidR="00000000" w:rsidDel="00000000" w:rsidP="00000000" w:rsidRDefault="00000000" w:rsidRPr="00000000" w14:paraId="000002DF">
            <w:pPr>
              <w:rPr/>
            </w:pPr>
            <w:r w:rsidDel="00000000" w:rsidR="00000000" w:rsidRPr="00000000">
              <w:rPr>
                <w:rtl w:val="0"/>
              </w:rPr>
              <w:t xml:space="preserve">• Trawniki wysiewane</w:t>
              <w:br w:type="textWrapping"/>
              <w:t xml:space="preserve">• Urządzona zieleń wspólna.</w:t>
            </w:r>
          </w:p>
        </w:tc>
      </w:tr>
      <w:tr>
        <w:trPr>
          <w:cantSplit w:val="0"/>
          <w:tblHeader w:val="0"/>
        </w:trPr>
        <w:tc>
          <w:tcPr/>
          <w:p w:rsidR="00000000" w:rsidDel="00000000" w:rsidP="00000000" w:rsidRDefault="00000000" w:rsidRPr="00000000" w14:paraId="000002E0">
            <w:pPr>
              <w:rPr/>
            </w:pPr>
            <w:r w:rsidDel="00000000" w:rsidR="00000000" w:rsidRPr="00000000">
              <w:rPr>
                <w:rtl w:val="0"/>
              </w:rPr>
              <w:t xml:space="preserve">Ogrodzenie zewnętrzne</w:t>
            </w:r>
          </w:p>
        </w:tc>
        <w:tc>
          <w:tcPr/>
          <w:p w:rsidR="00000000" w:rsidDel="00000000" w:rsidP="00000000" w:rsidRDefault="00000000" w:rsidRPr="00000000" w14:paraId="000002E1">
            <w:pPr>
              <w:rPr/>
            </w:pPr>
            <w:r w:rsidDel="00000000" w:rsidR="00000000" w:rsidRPr="00000000">
              <w:rPr>
                <w:rtl w:val="0"/>
              </w:rPr>
              <w:t xml:space="preserve">• Teren osiedla ogrodzony ogrodzeniem panelowym,</w:t>
              <w:br w:type="textWrapping"/>
              <w:t xml:space="preserve">• Lokale na parterze ogrodzone ogrodzeniem panelowym</w:t>
            </w:r>
          </w:p>
          <w:p w:rsidR="00000000" w:rsidDel="00000000" w:rsidP="00000000" w:rsidRDefault="00000000" w:rsidRPr="00000000" w14:paraId="000002E2">
            <w:pPr>
              <w:rPr/>
            </w:pPr>
            <w:r w:rsidDel="00000000" w:rsidR="00000000" w:rsidRPr="00000000">
              <w:rPr>
                <w:rtl w:val="0"/>
              </w:rPr>
              <w:t xml:space="preserve">• brama wjazdowa na pilota</w:t>
            </w:r>
          </w:p>
        </w:tc>
      </w:tr>
      <w:tr>
        <w:trPr>
          <w:cantSplit w:val="0"/>
          <w:tblHeader w:val="0"/>
        </w:trPr>
        <w:tc>
          <w:tcPr/>
          <w:p w:rsidR="00000000" w:rsidDel="00000000" w:rsidP="00000000" w:rsidRDefault="00000000" w:rsidRPr="00000000" w14:paraId="000002E3">
            <w:pPr>
              <w:rPr/>
            </w:pPr>
            <w:r w:rsidDel="00000000" w:rsidR="00000000" w:rsidRPr="00000000">
              <w:rPr>
                <w:rtl w:val="0"/>
              </w:rPr>
              <w:t xml:space="preserve">Wyposażenie</w:t>
            </w:r>
          </w:p>
        </w:tc>
        <w:tc>
          <w:tcPr/>
          <w:p w:rsidR="00000000" w:rsidDel="00000000" w:rsidP="00000000" w:rsidRDefault="00000000" w:rsidRPr="00000000" w14:paraId="000002E4">
            <w:pPr>
              <w:rPr/>
            </w:pPr>
            <w:r w:rsidDel="00000000" w:rsidR="00000000" w:rsidRPr="00000000">
              <w:rPr>
                <w:rtl w:val="0"/>
              </w:rPr>
              <w:t xml:space="preserve">• Kosze</w:t>
              <w:br w:type="textWrapping"/>
              <w:t xml:space="preserve">• Ławki</w:t>
              <w:br w:type="textWrapping"/>
              <w:t xml:space="preserve">• Stojaki na rowery.</w:t>
            </w:r>
          </w:p>
          <w:p w:rsidR="00000000" w:rsidDel="00000000" w:rsidP="00000000" w:rsidRDefault="00000000" w:rsidRPr="00000000" w14:paraId="000002E5">
            <w:pPr>
              <w:rPr/>
            </w:pPr>
            <w:r w:rsidDel="00000000" w:rsidR="00000000" w:rsidRPr="00000000">
              <w:rPr>
                <w:rtl w:val="0"/>
              </w:rPr>
              <w:t xml:space="preserve">• Wiata śmietnikowa</w:t>
            </w:r>
          </w:p>
        </w:tc>
      </w:tr>
      <w:tr>
        <w:trPr>
          <w:cantSplit w:val="0"/>
          <w:tblHeader w:val="0"/>
        </w:trPr>
        <w:tc>
          <w:tcPr/>
          <w:p w:rsidR="00000000" w:rsidDel="00000000" w:rsidP="00000000" w:rsidRDefault="00000000" w:rsidRPr="00000000" w14:paraId="000002E6">
            <w:pPr>
              <w:rPr/>
            </w:pPr>
            <w:r w:rsidDel="00000000" w:rsidR="00000000" w:rsidRPr="00000000">
              <w:rPr>
                <w:rtl w:val="0"/>
              </w:rPr>
              <w:t xml:space="preserve">Instalacje zewnętrzne</w:t>
            </w:r>
          </w:p>
        </w:tc>
        <w:tc>
          <w:tcPr/>
          <w:p w:rsidR="00000000" w:rsidDel="00000000" w:rsidP="00000000" w:rsidRDefault="00000000" w:rsidRPr="00000000" w14:paraId="000002E7">
            <w:pPr>
              <w:rPr/>
            </w:pPr>
            <w:r w:rsidDel="00000000" w:rsidR="00000000" w:rsidRPr="00000000">
              <w:rPr>
                <w:rtl w:val="0"/>
              </w:rPr>
              <w:t xml:space="preserve">• Oświetlenie zewnętrzne</w:t>
              <w:br w:type="textWrapping"/>
              <w:t xml:space="preserve">• Monitoring.</w:t>
            </w:r>
          </w:p>
        </w:tc>
      </w:tr>
    </w:tbl>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rPr/>
      </w:pPr>
      <w:r w:rsidDel="00000000" w:rsidR="00000000" w:rsidRPr="00000000">
        <w:rPr>
          <w:rtl w:val="0"/>
        </w:rPr>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rPr/>
      </w:pPr>
      <w:r w:rsidDel="00000000" w:rsidR="00000000" w:rsidRPr="00000000">
        <w:rPr>
          <w:rtl w:val="0"/>
        </w:rPr>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rPr/>
      </w:pPr>
      <w:r w:rsidDel="00000000" w:rsidR="00000000" w:rsidRPr="00000000">
        <w:rPr>
          <w:rtl w:val="0"/>
        </w:rPr>
      </w:r>
    </w:p>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rPr/>
      </w:pPr>
      <w:r w:rsidDel="00000000" w:rsidR="00000000" w:rsidRPr="00000000">
        <w:rPr>
          <w:rtl w:val="0"/>
        </w:rPr>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pPr>
      <w:r w:rsidDel="00000000" w:rsidR="00000000" w:rsidRPr="00000000">
        <w:rPr>
          <w:rtl w:val="0"/>
        </w:rPr>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pPr>
      <w:r w:rsidDel="00000000" w:rsidR="00000000" w:rsidRPr="00000000">
        <w:rPr>
          <w:rtl w:val="0"/>
        </w:rPr>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rPr/>
      </w:pPr>
      <w:r w:rsidDel="00000000" w:rsidR="00000000" w:rsidRPr="00000000">
        <w:rPr>
          <w:rtl w:val="0"/>
        </w:rPr>
        <w:t xml:space="preserve">Załącznik 5</w:t>
      </w:r>
    </w:p>
    <w:p w:rsidR="00000000" w:rsidDel="00000000" w:rsidP="00000000" w:rsidRDefault="00000000" w:rsidRPr="00000000" w14:paraId="000002F8">
      <w:pPr>
        <w:rPr/>
      </w:pPr>
      <w:r w:rsidDel="00000000" w:rsidR="00000000" w:rsidRPr="00000000">
        <w:rPr>
          <w:highlight w:val="yellow"/>
          <w:rtl w:val="0"/>
        </w:rPr>
        <w:t xml:space="preserve">Do wklejenia.</w:t>
      </w:r>
      <w:r w:rsidDel="00000000" w:rsidR="00000000" w:rsidRPr="00000000">
        <w:rPr>
          <w:rtl w:val="0"/>
        </w:rPr>
      </w:r>
    </w:p>
    <w:p w:rsidR="00000000" w:rsidDel="00000000" w:rsidP="00000000" w:rsidRDefault="00000000" w:rsidRPr="00000000" w14:paraId="000002F9">
      <w:pPr>
        <w:rPr/>
      </w:pPr>
      <w:r w:rsidDel="00000000" w:rsidR="00000000" w:rsidRPr="00000000">
        <w:rPr>
          <w:rtl w:val="0"/>
        </w:rPr>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rPr/>
      </w:pPr>
      <w:r w:rsidDel="00000000" w:rsidR="00000000" w:rsidRPr="00000000">
        <w:rPr>
          <w:rtl w:val="0"/>
        </w:rPr>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rPr/>
      </w:pPr>
      <w:r w:rsidDel="00000000" w:rsidR="00000000" w:rsidRPr="00000000">
        <w:rPr>
          <w:rtl w:val="0"/>
        </w:rPr>
      </w:r>
    </w:p>
    <w:p w:rsidR="00000000" w:rsidDel="00000000" w:rsidP="00000000" w:rsidRDefault="00000000" w:rsidRPr="00000000" w14:paraId="000002FE">
      <w:pPr>
        <w:rPr/>
      </w:pPr>
      <w:r w:rsidDel="00000000" w:rsidR="00000000" w:rsidRPr="00000000">
        <w:rPr>
          <w:rtl w:val="0"/>
        </w:rPr>
      </w:r>
    </w:p>
    <w:p w:rsidR="00000000" w:rsidDel="00000000" w:rsidP="00000000" w:rsidRDefault="00000000" w:rsidRPr="00000000" w14:paraId="000002FF">
      <w:pPr>
        <w:rPr/>
      </w:pPr>
      <w:r w:rsidDel="00000000" w:rsidR="00000000" w:rsidRPr="00000000">
        <w:rPr>
          <w:rtl w:val="0"/>
        </w:rPr>
      </w:r>
    </w:p>
    <w:p w:rsidR="00000000" w:rsidDel="00000000" w:rsidP="00000000" w:rsidRDefault="00000000" w:rsidRPr="00000000" w14:paraId="00000300">
      <w:pPr>
        <w:rPr/>
      </w:pPr>
      <w:r w:rsidDel="00000000" w:rsidR="00000000" w:rsidRPr="00000000">
        <w:rPr>
          <w:rtl w:val="0"/>
        </w:rPr>
      </w:r>
    </w:p>
    <w:sectPr>
      <w:footerReference r:id="rId12" w:type="default"/>
      <w:footerReference r:id="rId13" w:type="first"/>
      <w:pgSz w:h="16838" w:w="11906" w:orient="portrait"/>
      <w:pgMar w:bottom="1417" w:top="1417" w:left="1417" w:right="1417"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3">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4">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15">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01">
      <w:pPr>
        <w:pBdr>
          <w:top w:space="0" w:sz="0" w:val="nil"/>
          <w:left w:space="0" w:sz="0" w:val="nil"/>
          <w:bottom w:space="0" w:sz="0" w:val="nil"/>
          <w:right w:space="0" w:sz="0" w:val="nil"/>
          <w:between w:space="0" w:sz="0" w:val="nil"/>
        </w:pBdr>
        <w:spacing w:after="0" w:line="240" w:lineRule="auto"/>
        <w:ind w:left="284" w:hanging="284"/>
        <w:jc w:val="both"/>
        <w:rPr>
          <w:rFonts w:ascii="Times New Roman" w:cs="Times New Roman" w:eastAsia="Times New Roman" w:hAnsi="Times New Roman"/>
          <w:color w:val="000000"/>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8"/>
          <w:szCs w:val="18"/>
          <w:rtl w:val="0"/>
        </w:rPr>
        <w:t xml:space="preserve"> Jeżeli działka nie posiada adresu, należy opisowo określić jej położenie.</w:t>
      </w:r>
    </w:p>
  </w:footnote>
  <w:footnote w:id="1">
    <w:p w:rsidR="00000000" w:rsidDel="00000000" w:rsidP="00000000" w:rsidRDefault="00000000" w:rsidRPr="00000000" w14:paraId="00000302">
      <w:pPr>
        <w:pBdr>
          <w:top w:space="0" w:sz="0" w:val="nil"/>
          <w:left w:space="0" w:sz="0" w:val="nil"/>
          <w:bottom w:space="0" w:sz="0" w:val="nil"/>
          <w:right w:space="0" w:sz="0" w:val="nil"/>
          <w:between w:space="0" w:sz="0" w:val="nil"/>
        </w:pBdr>
        <w:spacing w:after="0" w:line="240" w:lineRule="auto"/>
        <w:ind w:left="284" w:hanging="284"/>
        <w:jc w:val="both"/>
        <w:rPr>
          <w:rFonts w:ascii="Times New Roman" w:cs="Times New Roman" w:eastAsia="Times New Roman" w:hAnsi="Times New Roman"/>
          <w:color w:val="000000"/>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8"/>
          <w:szCs w:val="18"/>
          <w:rtl w:val="0"/>
        </w:rPr>
        <w:t xml:space="preserve"> W szczególności imię i nazwisko albo firma właściciela lub użytkownika wieczystego oraz istniejące obciążenia na nieruchomości.</w:t>
      </w:r>
    </w:p>
  </w:footnote>
  <w:footnote w:id="2">
    <w:p w:rsidR="00000000" w:rsidDel="00000000" w:rsidP="00000000" w:rsidRDefault="00000000" w:rsidRPr="00000000" w14:paraId="00000303">
      <w:pPr>
        <w:pBdr>
          <w:top w:space="0" w:sz="0" w:val="nil"/>
          <w:left w:space="0" w:sz="0" w:val="nil"/>
          <w:bottom w:space="0" w:sz="0" w:val="nil"/>
          <w:right w:space="0" w:sz="0" w:val="nil"/>
          <w:between w:space="0" w:sz="0" w:val="nil"/>
        </w:pBdr>
        <w:spacing w:after="0" w:line="240" w:lineRule="auto"/>
        <w:ind w:left="284" w:hanging="284"/>
        <w:jc w:val="both"/>
        <w:rPr>
          <w:rFonts w:ascii="Times New Roman" w:cs="Times New Roman" w:eastAsia="Times New Roman" w:hAnsi="Times New Roman"/>
          <w:color w:val="000000"/>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8"/>
          <w:szCs w:val="18"/>
          <w:rtl w:val="0"/>
        </w:rPr>
        <w:t xml:space="preserve"> W szczególności obiekty generujące uciążliwości zapachowe, hałasowe, świetlne.</w:t>
      </w:r>
    </w:p>
  </w:footnote>
  <w:footnote w:id="3">
    <w:p w:rsidR="00000000" w:rsidDel="00000000" w:rsidP="00000000" w:rsidRDefault="00000000" w:rsidRPr="00000000" w14:paraId="00000304">
      <w:pPr>
        <w:spacing w:after="0" w:line="240" w:lineRule="auto"/>
        <w:ind w:left="284" w:hanging="284"/>
        <w:jc w:val="both"/>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Akty prawne (rozporządzenia, zarządzenia, uchwały) w sprawie:</w:t>
      </w:r>
    </w:p>
    <w:p w:rsidR="00000000" w:rsidDel="00000000" w:rsidP="00000000" w:rsidRDefault="00000000" w:rsidRPr="00000000" w14:paraId="00000305">
      <w:pPr>
        <w:numPr>
          <w:ilvl w:val="0"/>
          <w:numId w:val="8"/>
        </w:numPr>
        <w:pBdr>
          <w:top w:space="0" w:sz="0" w:val="nil"/>
          <w:left w:space="0" w:sz="0" w:val="nil"/>
          <w:bottom w:space="0" w:sz="0" w:val="nil"/>
          <w:right w:space="0" w:sz="0" w:val="nil"/>
          <w:between w:space="0" w:sz="0" w:val="nil"/>
        </w:pBdr>
        <w:spacing w:after="0" w:line="240" w:lineRule="auto"/>
        <w:ind w:left="567" w:hanging="283"/>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dokonania rezerwacji obszaru inwestycji (CPK),</w:t>
      </w:r>
    </w:p>
    <w:p w:rsidR="00000000" w:rsidDel="00000000" w:rsidP="00000000" w:rsidRDefault="00000000" w:rsidRPr="00000000" w14:paraId="00000306">
      <w:pPr>
        <w:numPr>
          <w:ilvl w:val="0"/>
          <w:numId w:val="8"/>
        </w:numPr>
        <w:pBdr>
          <w:top w:space="0" w:sz="0" w:val="nil"/>
          <w:left w:space="0" w:sz="0" w:val="nil"/>
          <w:bottom w:space="0" w:sz="0" w:val="nil"/>
          <w:right w:space="0" w:sz="0" w:val="nil"/>
          <w:between w:space="0" w:sz="0" w:val="nil"/>
        </w:pBdr>
        <w:spacing w:after="0" w:line="240" w:lineRule="auto"/>
        <w:ind w:left="567" w:hanging="283"/>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lokalizacji inwestycji mieszkaniowej lub inwestycji towarzyszącej,</w:t>
      </w:r>
    </w:p>
    <w:p w:rsidR="00000000" w:rsidDel="00000000" w:rsidP="00000000" w:rsidRDefault="00000000" w:rsidRPr="00000000" w14:paraId="00000307">
      <w:pPr>
        <w:numPr>
          <w:ilvl w:val="0"/>
          <w:numId w:val="8"/>
        </w:numPr>
        <w:pBdr>
          <w:top w:space="0" w:sz="0" w:val="nil"/>
          <w:left w:space="0" w:sz="0" w:val="nil"/>
          <w:bottom w:space="0" w:sz="0" w:val="nil"/>
          <w:right w:space="0" w:sz="0" w:val="nil"/>
          <w:between w:space="0" w:sz="0" w:val="nil"/>
        </w:pBdr>
        <w:spacing w:after="0" w:line="240" w:lineRule="auto"/>
        <w:ind w:left="567" w:hanging="283"/>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w:t>
      </w:r>
    </w:p>
    <w:p w:rsidR="00000000" w:rsidDel="00000000" w:rsidP="00000000" w:rsidRDefault="00000000" w:rsidRPr="00000000" w14:paraId="00000308">
      <w:pPr>
        <w:numPr>
          <w:ilvl w:val="0"/>
          <w:numId w:val="8"/>
        </w:numPr>
        <w:pBdr>
          <w:top w:space="0" w:sz="0" w:val="nil"/>
          <w:left w:space="0" w:sz="0" w:val="nil"/>
          <w:bottom w:space="0" w:sz="0" w:val="nil"/>
          <w:right w:space="0" w:sz="0" w:val="nil"/>
          <w:between w:space="0" w:sz="0" w:val="nil"/>
        </w:pBdr>
        <w:spacing w:after="0" w:line="240" w:lineRule="auto"/>
        <w:ind w:left="567" w:hanging="283"/>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ustanowienia strefy ochronnej terenu ochrony bezpośredniej i terenu ochrony pośredniej ujęcia wody,</w:t>
      </w:r>
    </w:p>
    <w:p w:rsidR="00000000" w:rsidDel="00000000" w:rsidP="00000000" w:rsidRDefault="00000000" w:rsidRPr="00000000" w14:paraId="00000309">
      <w:pPr>
        <w:numPr>
          <w:ilvl w:val="0"/>
          <w:numId w:val="8"/>
        </w:numPr>
        <w:pBdr>
          <w:top w:space="0" w:sz="0" w:val="nil"/>
          <w:left w:space="0" w:sz="0" w:val="nil"/>
          <w:bottom w:space="0" w:sz="0" w:val="nil"/>
          <w:right w:space="0" w:sz="0" w:val="nil"/>
          <w:between w:space="0" w:sz="0" w:val="nil"/>
        </w:pBdr>
        <w:spacing w:after="0" w:line="240" w:lineRule="auto"/>
        <w:ind w:left="567" w:hanging="283"/>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wyznaczenia obszarów cichych w aglomeracji lub obszarów cichych poza aglomeracją,</w:t>
      </w:r>
    </w:p>
    <w:p w:rsidR="00000000" w:rsidDel="00000000" w:rsidP="00000000" w:rsidRDefault="00000000" w:rsidRPr="00000000" w14:paraId="0000030A">
      <w:pPr>
        <w:numPr>
          <w:ilvl w:val="0"/>
          <w:numId w:val="8"/>
        </w:numPr>
        <w:pBdr>
          <w:top w:space="0" w:sz="0" w:val="nil"/>
          <w:left w:space="0" w:sz="0" w:val="nil"/>
          <w:bottom w:space="0" w:sz="0" w:val="nil"/>
          <w:right w:space="0" w:sz="0" w:val="nil"/>
          <w:between w:space="0" w:sz="0" w:val="nil"/>
        </w:pBdr>
        <w:spacing w:after="0" w:line="240" w:lineRule="auto"/>
        <w:ind w:left="567" w:hanging="283"/>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utworzenia obszaru ograniczonego użytkowania,</w:t>
      </w:r>
    </w:p>
    <w:p w:rsidR="00000000" w:rsidDel="00000000" w:rsidP="00000000" w:rsidRDefault="00000000" w:rsidRPr="00000000" w14:paraId="0000030B">
      <w:pPr>
        <w:numPr>
          <w:ilvl w:val="0"/>
          <w:numId w:val="8"/>
        </w:numPr>
        <w:pBdr>
          <w:top w:space="0" w:sz="0" w:val="nil"/>
          <w:left w:space="0" w:sz="0" w:val="nil"/>
          <w:bottom w:space="0" w:sz="0" w:val="nil"/>
          <w:right w:space="0" w:sz="0" w:val="nil"/>
          <w:between w:space="0" w:sz="0" w:val="nil"/>
        </w:pBdr>
        <w:spacing w:after="0" w:line="240" w:lineRule="auto"/>
        <w:ind w:left="567" w:hanging="283"/>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uznania zabytku za pomnik historii,</w:t>
      </w:r>
    </w:p>
    <w:p w:rsidR="00000000" w:rsidDel="00000000" w:rsidP="00000000" w:rsidRDefault="00000000" w:rsidRPr="00000000" w14:paraId="0000030C">
      <w:pPr>
        <w:numPr>
          <w:ilvl w:val="0"/>
          <w:numId w:val="8"/>
        </w:numPr>
        <w:pBdr>
          <w:top w:space="0" w:sz="0" w:val="nil"/>
          <w:left w:space="0" w:sz="0" w:val="nil"/>
          <w:bottom w:space="0" w:sz="0" w:val="nil"/>
          <w:right w:space="0" w:sz="0" w:val="nil"/>
          <w:between w:space="0" w:sz="0" w:val="nil"/>
        </w:pBdr>
        <w:spacing w:after="0" w:line="240" w:lineRule="auto"/>
        <w:ind w:left="567" w:hanging="283"/>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określenia granic obszaru Pomnika Zagłady i jego strefy ochronnej, utworzenia parku kulturowego,</w:t>
      </w:r>
    </w:p>
    <w:p w:rsidR="00000000" w:rsidDel="00000000" w:rsidP="00000000" w:rsidRDefault="00000000" w:rsidRPr="00000000" w14:paraId="0000030D">
      <w:pPr>
        <w:numPr>
          <w:ilvl w:val="0"/>
          <w:numId w:val="8"/>
        </w:numPr>
        <w:pBdr>
          <w:top w:space="0" w:sz="0" w:val="nil"/>
          <w:left w:space="0" w:sz="0" w:val="nil"/>
          <w:bottom w:space="0" w:sz="0" w:val="nil"/>
          <w:right w:space="0" w:sz="0" w:val="nil"/>
          <w:between w:space="0" w:sz="0" w:val="nil"/>
        </w:pBdr>
        <w:spacing w:after="0" w:line="240" w:lineRule="auto"/>
        <w:ind w:left="567" w:hanging="283"/>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ustalenia zasad i warunków sytuowania obiektów małej architektury, tablic reklamowych i urządzeń reklamowych oraz ogrodzeń, ich gabarytów, standardów jakościowych oraz rodzajów materiałów budowlanych.</w:t>
      </w:r>
    </w:p>
  </w:footnote>
  <w:footnote w:id="4">
    <w:p w:rsidR="00000000" w:rsidDel="00000000" w:rsidP="00000000" w:rsidRDefault="00000000" w:rsidRPr="00000000" w14:paraId="0000030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8"/>
          <w:szCs w:val="18"/>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Times New Roman" w:cs="Times New Roman" w:eastAsia="Times New Roman" w:hAnsi="Times New Roman"/>
          <w:color w:val="000000"/>
          <w:sz w:val="18"/>
          <w:szCs w:val="18"/>
          <w:rtl w:val="0"/>
        </w:rPr>
        <w:t xml:space="preserve">W przypadku braku miejscowego planu zagospodarowania przestrzennego umieszcza się informację „Brak planu”. </w:t>
      </w:r>
    </w:p>
  </w:footnote>
  <w:footnote w:id="5">
    <w:p w:rsidR="00000000" w:rsidDel="00000000" w:rsidP="00000000" w:rsidRDefault="00000000" w:rsidRPr="00000000" w14:paraId="0000030F">
      <w:pPr>
        <w:pBdr>
          <w:top w:space="0" w:sz="0" w:val="nil"/>
          <w:left w:space="0" w:sz="0" w:val="nil"/>
          <w:bottom w:space="0" w:sz="0" w:val="nil"/>
          <w:right w:space="0" w:sz="0" w:val="nil"/>
          <w:between w:space="0" w:sz="0" w:val="nil"/>
        </w:pBdr>
        <w:spacing w:after="0" w:line="240" w:lineRule="auto"/>
        <w:ind w:left="284" w:hanging="284"/>
        <w:jc w:val="both"/>
        <w:rPr>
          <w:rFonts w:ascii="Times New Roman" w:cs="Times New Roman" w:eastAsia="Times New Roman" w:hAnsi="Times New Roman"/>
          <w:color w:val="000000"/>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8"/>
          <w:szCs w:val="18"/>
          <w:rtl w:val="0"/>
        </w:rPr>
        <w:t xml:space="preserve">    Wskazane inwestycje dotyczą w szczególności budowy lub rozbudowy dróg, budowy linii szynowych oraz przewidzianych korytarzy powietrznych, inwestycji komunalnych, takich jak: oczyszczalnie ścieków, spalarnie śmieci, wysypiska, cmentarze.</w:t>
      </w:r>
    </w:p>
  </w:footnote>
  <w:footnote w:id="6">
    <w:p w:rsidR="00000000" w:rsidDel="00000000" w:rsidP="00000000" w:rsidRDefault="00000000" w:rsidRPr="00000000" w14:paraId="0000031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8"/>
          <w:szCs w:val="18"/>
          <w:rtl w:val="0"/>
        </w:rPr>
        <w:t xml:space="preserve"> Niepotrzebne skreślić. </w:t>
      </w:r>
    </w:p>
  </w:footnote>
  <w:footnote w:id="7">
    <w:p w:rsidR="00000000" w:rsidDel="00000000" w:rsidP="00000000" w:rsidRDefault="00000000" w:rsidRPr="00000000" w14:paraId="00000311">
      <w:pPr>
        <w:pBdr>
          <w:top w:space="0" w:sz="0" w:val="nil"/>
          <w:left w:space="0" w:sz="0" w:val="nil"/>
          <w:bottom w:space="0" w:sz="0" w:val="nil"/>
          <w:right w:space="0" w:sz="0" w:val="nil"/>
          <w:between w:space="0" w:sz="0" w:val="nil"/>
        </w:pBdr>
        <w:spacing w:after="0" w:line="240" w:lineRule="auto"/>
        <w:ind w:left="284" w:hanging="284"/>
        <w:jc w:val="both"/>
        <w:rPr>
          <w:rFonts w:ascii="Times New Roman" w:cs="Times New Roman" w:eastAsia="Times New Roman" w:hAnsi="Times New Roman"/>
          <w:color w:val="000000"/>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8"/>
          <w:szCs w:val="18"/>
          <w:rtl w:val="0"/>
        </w:rPr>
        <w:t xml:space="preserve">  Zgodnie z art. 48 ust. 6 ustawy z dnia 20 maja 2021 r. o ochronie praw nabywcy lokalu mieszkalnego lub domu jednorodzinnego oraz o Deweloperskim Funduszu Gwarancyjnym (Dz. U. z 2024 r. poz. 695)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20 maja 2021 r. o ochronie praw nabywcy lokalu mieszkalnego lub domu jednorodzinnego oraz o Deweloperskim Funduszu Gwarancyjnym.</w:t>
      </w:r>
    </w:p>
  </w:footnote>
  <w:footnote w:id="8">
    <w:p w:rsidR="00000000" w:rsidDel="00000000" w:rsidP="00000000" w:rsidRDefault="00000000" w:rsidRPr="00000000" w14:paraId="00000312">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Sekcja w brzmieniu ustalonym przez art. 43 pkt 14 ustawy, o której mowa w odnośniku 2. </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3"/>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65" w:hanging="40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https://bip.powiat.pruszkow.pl/dokument_druk.php?iddok=13106&amp;idmp=245&amp;r=" TargetMode="Externa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bip.um.pruszkow.pl/karta-informacyjna-sios/6675/karta-nr-51-2023"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bip.um.pruszkow.pl/artykul/336/959/-obowiazujace" TargetMode="External"/><Relationship Id="rId8" Type="http://schemas.openxmlformats.org/officeDocument/2006/relationships/hyperlink" Target="https://bip.um.pruszkow.pl/karta-informacyjna-sios/7198/karta-nr-127-202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